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F4" w:rsidRDefault="007971F4" w:rsidP="007971F4">
      <w:pPr>
        <w:spacing w:before="120" w:after="120"/>
        <w:ind w:left="-567"/>
        <w:rPr>
          <w:b/>
        </w:rPr>
      </w:pPr>
      <w:bookmarkStart w:id="0" w:name="_GoBack"/>
      <w:bookmarkEnd w:id="0"/>
    </w:p>
    <w:p w:rsidR="00C76C46" w:rsidRPr="003D53D2" w:rsidRDefault="00C76C46" w:rsidP="0073059A">
      <w:pPr>
        <w:spacing w:beforeLines="60" w:before="144" w:afterLines="60" w:after="144"/>
        <w:ind w:left="-567"/>
        <w:jc w:val="center"/>
        <w:rPr>
          <w:b/>
          <w:bCs/>
          <w:caps/>
        </w:rPr>
      </w:pPr>
    </w:p>
    <w:p w:rsidR="00C76C46" w:rsidRDefault="00C76C46" w:rsidP="00C242C7">
      <w:pPr>
        <w:spacing w:beforeLines="60" w:before="144" w:afterLines="60" w:after="144"/>
        <w:jc w:val="center"/>
        <w:rPr>
          <w:b/>
          <w:bCs/>
          <w:caps/>
        </w:rPr>
      </w:pPr>
    </w:p>
    <w:p w:rsidR="008D6924" w:rsidRDefault="008D6924" w:rsidP="00C242C7">
      <w:pPr>
        <w:spacing w:beforeLines="60" w:before="144" w:afterLines="60" w:after="144"/>
        <w:jc w:val="center"/>
        <w:rPr>
          <w:b/>
          <w:bCs/>
          <w:caps/>
        </w:rPr>
      </w:pPr>
    </w:p>
    <w:p w:rsidR="008D6924" w:rsidRPr="003D53D2" w:rsidRDefault="008D6924" w:rsidP="00C242C7">
      <w:pPr>
        <w:spacing w:beforeLines="60" w:before="144" w:afterLines="60" w:after="144"/>
        <w:jc w:val="center"/>
        <w:rPr>
          <w:b/>
          <w:bCs/>
          <w:caps/>
        </w:rPr>
      </w:pPr>
    </w:p>
    <w:p w:rsidR="00C76C46" w:rsidRPr="003D53D2" w:rsidRDefault="00C76C46" w:rsidP="00C242C7">
      <w:pPr>
        <w:spacing w:beforeLines="60" w:before="144" w:afterLines="60" w:after="144"/>
        <w:jc w:val="center"/>
        <w:rPr>
          <w:b/>
          <w:bCs/>
          <w:caps/>
        </w:rPr>
      </w:pPr>
      <w:r w:rsidRPr="003D53D2">
        <w:rPr>
          <w:b/>
          <w:bCs/>
          <w:caps/>
        </w:rPr>
        <w:t>МетодикА</w:t>
      </w:r>
    </w:p>
    <w:p w:rsidR="00C76C46" w:rsidRPr="003D53D2" w:rsidRDefault="00C76C46" w:rsidP="00C242C7">
      <w:pPr>
        <w:spacing w:beforeLines="60" w:before="144" w:afterLines="60" w:after="144"/>
        <w:jc w:val="center"/>
        <w:rPr>
          <w:b/>
          <w:bCs/>
          <w:caps/>
        </w:rPr>
      </w:pPr>
    </w:p>
    <w:p w:rsidR="00C76C46" w:rsidRDefault="00C76C46" w:rsidP="00C242C7">
      <w:pPr>
        <w:jc w:val="center"/>
        <w:rPr>
          <w:b/>
          <w:bCs/>
          <w:caps/>
        </w:rPr>
      </w:pPr>
      <w:r w:rsidRPr="003D53D2">
        <w:rPr>
          <w:b/>
          <w:bCs/>
          <w:caps/>
        </w:rPr>
        <w:t>«</w:t>
      </w:r>
      <w:r w:rsidR="00050DA1" w:rsidRPr="003D53D2">
        <w:rPr>
          <w:b/>
          <w:bCs/>
          <w:caps/>
        </w:rPr>
        <w:t>проведениЕ экспертизы финансово-экономической устойчивости участников закупочных процедур</w:t>
      </w:r>
      <w:r w:rsidRPr="003D53D2">
        <w:rPr>
          <w:b/>
          <w:bCs/>
          <w:caps/>
        </w:rPr>
        <w:t>»</w:t>
      </w:r>
    </w:p>
    <w:p w:rsidR="003E199B" w:rsidRPr="003D53D2" w:rsidRDefault="003E199B" w:rsidP="00C242C7">
      <w:pPr>
        <w:jc w:val="center"/>
        <w:rPr>
          <w:b/>
          <w:bCs/>
          <w:caps/>
        </w:rPr>
      </w:pPr>
      <w:r>
        <w:rPr>
          <w:b/>
          <w:bCs/>
          <w:caps/>
        </w:rPr>
        <w:t>АО «</w:t>
      </w:r>
      <w:r w:rsidR="00D94217">
        <w:rPr>
          <w:b/>
          <w:bCs/>
          <w:caps/>
        </w:rPr>
        <w:t>РСП ТПК КГРЭС»</w:t>
      </w:r>
    </w:p>
    <w:p w:rsidR="00C76C46" w:rsidRPr="003D53D2" w:rsidRDefault="00C76C46" w:rsidP="00C242C7">
      <w:pPr>
        <w:spacing w:beforeLines="60" w:before="144" w:afterLines="60" w:after="144"/>
        <w:jc w:val="center"/>
        <w:rPr>
          <w:b/>
          <w:bCs/>
          <w:caps/>
        </w:rPr>
      </w:pPr>
    </w:p>
    <w:p w:rsidR="00C76C46" w:rsidRPr="003D53D2" w:rsidRDefault="00C76C46" w:rsidP="00C242C7">
      <w:pPr>
        <w:spacing w:beforeLines="60" w:before="144" w:afterLines="60" w:after="144"/>
        <w:jc w:val="center"/>
        <w:rPr>
          <w:i/>
        </w:rPr>
      </w:pPr>
    </w:p>
    <w:p w:rsidR="00C76C46" w:rsidRPr="003D53D2" w:rsidRDefault="00C76C46" w:rsidP="00C242C7">
      <w:pPr>
        <w:spacing w:beforeLines="60" w:before="144" w:afterLines="60" w:after="144"/>
        <w:jc w:val="center"/>
        <w:rPr>
          <w:i/>
        </w:rPr>
      </w:pPr>
    </w:p>
    <w:p w:rsidR="00C76C46" w:rsidRPr="003D53D2" w:rsidRDefault="00C76C46" w:rsidP="00C242C7">
      <w:pPr>
        <w:spacing w:beforeLines="60" w:before="144" w:afterLines="60" w:after="144"/>
        <w:jc w:val="center"/>
        <w:rPr>
          <w:i/>
        </w:rPr>
      </w:pPr>
    </w:p>
    <w:p w:rsidR="00C76C46" w:rsidRPr="003D53D2" w:rsidRDefault="00C76C46" w:rsidP="00C242C7">
      <w:pPr>
        <w:spacing w:beforeLines="60" w:before="144" w:afterLines="60" w:after="144"/>
        <w:jc w:val="center"/>
        <w:rPr>
          <w:i/>
        </w:rPr>
      </w:pPr>
    </w:p>
    <w:p w:rsidR="00C76C46" w:rsidRPr="003D53D2" w:rsidRDefault="00C76C46" w:rsidP="00C242C7">
      <w:pPr>
        <w:spacing w:beforeLines="60" w:before="144" w:afterLines="60" w:after="144"/>
        <w:jc w:val="center"/>
        <w:rPr>
          <w:i/>
        </w:rPr>
      </w:pPr>
    </w:p>
    <w:p w:rsidR="00050DA1" w:rsidRPr="003D53D2" w:rsidRDefault="00050DA1" w:rsidP="00C242C7">
      <w:pPr>
        <w:spacing w:beforeLines="60" w:before="144" w:afterLines="60" w:after="144"/>
        <w:jc w:val="center"/>
        <w:rPr>
          <w:i/>
        </w:rPr>
      </w:pPr>
    </w:p>
    <w:p w:rsidR="00050DA1" w:rsidRDefault="00050DA1" w:rsidP="00C242C7">
      <w:pPr>
        <w:spacing w:beforeLines="60" w:before="144" w:afterLines="60" w:after="144"/>
        <w:jc w:val="center"/>
        <w:rPr>
          <w:i/>
        </w:rPr>
      </w:pPr>
    </w:p>
    <w:p w:rsidR="00D177A1" w:rsidRDefault="00D177A1" w:rsidP="00C242C7">
      <w:pPr>
        <w:spacing w:beforeLines="60" w:before="144" w:afterLines="60" w:after="144"/>
        <w:rPr>
          <w:i/>
        </w:rPr>
      </w:pPr>
    </w:p>
    <w:p w:rsidR="00D94217" w:rsidRDefault="00D94217" w:rsidP="00C242C7">
      <w:pPr>
        <w:spacing w:beforeLines="60" w:before="144" w:afterLines="60" w:after="144"/>
        <w:rPr>
          <w:i/>
        </w:rPr>
      </w:pPr>
    </w:p>
    <w:p w:rsidR="00D94217" w:rsidRPr="003D53D2" w:rsidRDefault="00D94217" w:rsidP="00C242C7">
      <w:pPr>
        <w:spacing w:beforeLines="60" w:before="144" w:afterLines="60" w:after="144"/>
        <w:rPr>
          <w:i/>
        </w:rPr>
      </w:pPr>
    </w:p>
    <w:p w:rsidR="00C76C46" w:rsidRDefault="00C76C46" w:rsidP="00C242C7">
      <w:pPr>
        <w:rPr>
          <w:highlight w:val="yellow"/>
        </w:rPr>
      </w:pPr>
    </w:p>
    <w:p w:rsidR="00D177A1" w:rsidRDefault="00D177A1" w:rsidP="00C242C7">
      <w:pPr>
        <w:rPr>
          <w:highlight w:val="yellow"/>
        </w:rPr>
      </w:pPr>
    </w:p>
    <w:p w:rsidR="00D177A1" w:rsidRDefault="00D177A1" w:rsidP="00C242C7">
      <w:pPr>
        <w:rPr>
          <w:highlight w:val="yellow"/>
        </w:rPr>
      </w:pPr>
    </w:p>
    <w:p w:rsidR="008D6924" w:rsidRDefault="008D6924" w:rsidP="00C242C7">
      <w:pPr>
        <w:rPr>
          <w:highlight w:val="yellow"/>
        </w:rPr>
      </w:pPr>
    </w:p>
    <w:p w:rsidR="008D6924" w:rsidRDefault="008D6924" w:rsidP="00C242C7">
      <w:pPr>
        <w:rPr>
          <w:highlight w:val="yellow"/>
        </w:rPr>
      </w:pPr>
    </w:p>
    <w:p w:rsidR="00D177A1" w:rsidRDefault="00D177A1" w:rsidP="00C242C7">
      <w:pPr>
        <w:rPr>
          <w:highlight w:val="yellow"/>
        </w:rPr>
      </w:pPr>
    </w:p>
    <w:p w:rsidR="008D6924" w:rsidRDefault="008D6924" w:rsidP="00C242C7">
      <w:pPr>
        <w:rPr>
          <w:highlight w:val="yellow"/>
        </w:rPr>
      </w:pPr>
    </w:p>
    <w:p w:rsidR="008D6924" w:rsidRDefault="008D6924" w:rsidP="00C242C7">
      <w:pPr>
        <w:rPr>
          <w:b/>
        </w:rPr>
      </w:pPr>
    </w:p>
    <w:p w:rsidR="007F7FDB" w:rsidRPr="008D6924" w:rsidRDefault="007F7FDB" w:rsidP="007F7FDB">
      <w:pPr>
        <w:rPr>
          <w:b/>
        </w:rPr>
      </w:pPr>
      <w:r w:rsidRPr="008D6924">
        <w:rPr>
          <w:b/>
        </w:rPr>
        <w:t>Ответственный за применение ВНД:</w:t>
      </w:r>
    </w:p>
    <w:p w:rsidR="00D94217" w:rsidRDefault="00D94217" w:rsidP="00D94217">
      <w:r>
        <w:t>Заместитель генерального директора по общим вопросам</w:t>
      </w:r>
    </w:p>
    <w:p w:rsidR="00D94217" w:rsidRDefault="00D94217" w:rsidP="00D94217">
      <w:r>
        <w:t>АО «РСП ТПК КГРЭС»</w:t>
      </w:r>
    </w:p>
    <w:p w:rsidR="008300B9" w:rsidRDefault="00D94217" w:rsidP="00D94217">
      <w:pPr>
        <w:rPr>
          <w:b/>
        </w:rPr>
      </w:pPr>
      <w:r>
        <w:t>Е.А. Силимянкина</w:t>
      </w:r>
    </w:p>
    <w:p w:rsidR="008D6924" w:rsidRPr="008D6924" w:rsidRDefault="008D6924" w:rsidP="00C242C7">
      <w:pPr>
        <w:rPr>
          <w:b/>
        </w:rPr>
      </w:pPr>
    </w:p>
    <w:p w:rsidR="008D6924" w:rsidRPr="008D6924" w:rsidRDefault="008D6924" w:rsidP="00C242C7">
      <w:pPr>
        <w:rPr>
          <w:b/>
        </w:rPr>
      </w:pPr>
      <w:r w:rsidRPr="008D6924">
        <w:rPr>
          <w:b/>
        </w:rPr>
        <w:t>Владелец документа:</w:t>
      </w:r>
    </w:p>
    <w:p w:rsidR="00D94217" w:rsidRDefault="008300B9" w:rsidP="007F7FDB">
      <w:r>
        <w:t xml:space="preserve">Заместитель </w:t>
      </w:r>
      <w:r w:rsidR="00D94217">
        <w:t>г</w:t>
      </w:r>
      <w:r>
        <w:t xml:space="preserve">енерального директора по экономике и финансам </w:t>
      </w:r>
    </w:p>
    <w:p w:rsidR="008D6924" w:rsidRDefault="00D94217" w:rsidP="007F7FDB">
      <w:r>
        <w:t xml:space="preserve">АО «РСП ТПК КГРЭС» </w:t>
      </w:r>
    </w:p>
    <w:p w:rsidR="00D94217" w:rsidRDefault="00D94217" w:rsidP="007F7FDB">
      <w:pPr>
        <w:rPr>
          <w:b/>
          <w:bCs/>
        </w:rPr>
      </w:pPr>
      <w:r>
        <w:t>Чибуров В.С.</w:t>
      </w:r>
    </w:p>
    <w:p w:rsidR="00C76C46" w:rsidRDefault="00C76C46" w:rsidP="00C242C7">
      <w:pPr>
        <w:pStyle w:val="a6"/>
        <w:spacing w:before="100" w:beforeAutospacing="1" w:after="100" w:afterAutospacing="1"/>
        <w:rPr>
          <w:sz w:val="24"/>
        </w:rPr>
      </w:pPr>
      <w:r w:rsidRPr="003D53D2">
        <w:rPr>
          <w:sz w:val="24"/>
        </w:rPr>
        <w:lastRenderedPageBreak/>
        <w:t>СОДЕРЖАНИЕ</w:t>
      </w:r>
    </w:p>
    <w:bookmarkStart w:id="1" w:name="_Toc518302116" w:displacedByCustomXml="next"/>
    <w:sdt>
      <w:sdtPr>
        <w:rPr>
          <w:bCs w:val="0"/>
          <w:iCs w:val="0"/>
          <w:noProof w:val="0"/>
        </w:rPr>
        <w:id w:val="-579993731"/>
        <w:docPartObj>
          <w:docPartGallery w:val="Table of Contents"/>
          <w:docPartUnique/>
        </w:docPartObj>
      </w:sdtPr>
      <w:sdtEndPr/>
      <w:sdtContent>
        <w:bookmarkEnd w:id="1" w:displacedByCustomXml="prev"/>
        <w:p w:rsidR="00416968" w:rsidRDefault="00416968" w:rsidP="00416968">
          <w:pPr>
            <w:pStyle w:val="1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18302231" w:history="1">
            <w:r w:rsidRPr="001D5C50">
              <w:rPr>
                <w:rStyle w:val="a9"/>
              </w:rPr>
              <w:t>1.</w:t>
            </w:r>
            <w:r>
              <w:rPr>
                <w:rFonts w:asciiTheme="minorHAnsi" w:eastAsiaTheme="minorEastAsia" w:hAnsiTheme="minorHAnsi" w:cstheme="minorBidi"/>
                <w:sz w:val="22"/>
                <w:szCs w:val="22"/>
              </w:rPr>
              <w:tab/>
            </w:r>
            <w:r w:rsidRPr="001D5C50">
              <w:rPr>
                <w:rStyle w:val="a9"/>
              </w:rPr>
              <w:t>Термины и определения</w:t>
            </w:r>
            <w:r>
              <w:rPr>
                <w:webHidden/>
              </w:rPr>
              <w:tab/>
            </w:r>
            <w:r>
              <w:rPr>
                <w:webHidden/>
              </w:rPr>
              <w:fldChar w:fldCharType="begin"/>
            </w:r>
            <w:r>
              <w:rPr>
                <w:webHidden/>
              </w:rPr>
              <w:instrText xml:space="preserve"> PAGEREF _Toc518302231 \h </w:instrText>
            </w:r>
            <w:r>
              <w:rPr>
                <w:webHidden/>
              </w:rPr>
            </w:r>
            <w:r>
              <w:rPr>
                <w:webHidden/>
              </w:rPr>
              <w:fldChar w:fldCharType="separate"/>
            </w:r>
            <w:r w:rsidR="004A3412">
              <w:rPr>
                <w:webHidden/>
              </w:rPr>
              <w:t>3</w:t>
            </w:r>
            <w:r>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2" w:history="1">
            <w:r w:rsidR="00416968" w:rsidRPr="001D5C50">
              <w:rPr>
                <w:rStyle w:val="a9"/>
              </w:rPr>
              <w:t>2.</w:t>
            </w:r>
            <w:r w:rsidR="00416968">
              <w:rPr>
                <w:rFonts w:asciiTheme="minorHAnsi" w:eastAsiaTheme="minorEastAsia" w:hAnsiTheme="minorHAnsi" w:cstheme="minorBidi"/>
                <w:sz w:val="22"/>
                <w:szCs w:val="22"/>
              </w:rPr>
              <w:tab/>
            </w:r>
            <w:r w:rsidR="00416968" w:rsidRPr="001D5C50">
              <w:rPr>
                <w:rStyle w:val="a9"/>
              </w:rPr>
              <w:t>Нормативные ссылки</w:t>
            </w:r>
            <w:r w:rsidR="00416968">
              <w:rPr>
                <w:webHidden/>
              </w:rPr>
              <w:tab/>
            </w:r>
            <w:r w:rsidR="00416968">
              <w:rPr>
                <w:webHidden/>
              </w:rPr>
              <w:fldChar w:fldCharType="begin"/>
            </w:r>
            <w:r w:rsidR="00416968">
              <w:rPr>
                <w:webHidden/>
              </w:rPr>
              <w:instrText xml:space="preserve"> PAGEREF _Toc518302232 \h </w:instrText>
            </w:r>
            <w:r w:rsidR="00416968">
              <w:rPr>
                <w:webHidden/>
              </w:rPr>
            </w:r>
            <w:r w:rsidR="00416968">
              <w:rPr>
                <w:webHidden/>
              </w:rPr>
              <w:fldChar w:fldCharType="separate"/>
            </w:r>
            <w:r w:rsidR="004A3412">
              <w:rPr>
                <w:webHidden/>
              </w:rPr>
              <w:t>4</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3" w:history="1">
            <w:r w:rsidR="00416968" w:rsidRPr="001D5C50">
              <w:rPr>
                <w:rStyle w:val="a9"/>
              </w:rPr>
              <w:t>3.</w:t>
            </w:r>
            <w:r w:rsidR="00416968">
              <w:rPr>
                <w:rFonts w:asciiTheme="minorHAnsi" w:eastAsiaTheme="minorEastAsia" w:hAnsiTheme="minorHAnsi" w:cstheme="minorBidi"/>
                <w:sz w:val="22"/>
                <w:szCs w:val="22"/>
              </w:rPr>
              <w:tab/>
            </w:r>
            <w:r w:rsidR="00416968" w:rsidRPr="001D5C50">
              <w:rPr>
                <w:rStyle w:val="a9"/>
              </w:rPr>
              <w:t>Назначение и область применения</w:t>
            </w:r>
            <w:r w:rsidR="00416968">
              <w:rPr>
                <w:webHidden/>
              </w:rPr>
              <w:tab/>
            </w:r>
            <w:r w:rsidR="00416968">
              <w:rPr>
                <w:webHidden/>
              </w:rPr>
              <w:fldChar w:fldCharType="begin"/>
            </w:r>
            <w:r w:rsidR="00416968">
              <w:rPr>
                <w:webHidden/>
              </w:rPr>
              <w:instrText xml:space="preserve"> PAGEREF _Toc518302233 \h </w:instrText>
            </w:r>
            <w:r w:rsidR="00416968">
              <w:rPr>
                <w:webHidden/>
              </w:rPr>
            </w:r>
            <w:r w:rsidR="00416968">
              <w:rPr>
                <w:webHidden/>
              </w:rPr>
              <w:fldChar w:fldCharType="separate"/>
            </w:r>
            <w:r w:rsidR="004A3412">
              <w:rPr>
                <w:webHidden/>
              </w:rPr>
              <w:t>4</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4" w:history="1">
            <w:r w:rsidR="00416968" w:rsidRPr="001D5C50">
              <w:rPr>
                <w:rStyle w:val="a9"/>
              </w:rPr>
              <w:t>4.</w:t>
            </w:r>
            <w:r w:rsidR="00416968">
              <w:rPr>
                <w:rFonts w:asciiTheme="minorHAnsi" w:eastAsiaTheme="minorEastAsia" w:hAnsiTheme="minorHAnsi" w:cstheme="minorBidi"/>
                <w:sz w:val="22"/>
                <w:szCs w:val="22"/>
              </w:rPr>
              <w:tab/>
            </w:r>
            <w:r w:rsidR="00416968" w:rsidRPr="001D5C50">
              <w:rPr>
                <w:rStyle w:val="a9"/>
              </w:rPr>
              <w:t>Общие положения</w:t>
            </w:r>
            <w:r w:rsidR="00416968">
              <w:rPr>
                <w:webHidden/>
              </w:rPr>
              <w:tab/>
            </w:r>
            <w:r w:rsidR="00416968">
              <w:rPr>
                <w:webHidden/>
              </w:rPr>
              <w:fldChar w:fldCharType="begin"/>
            </w:r>
            <w:r w:rsidR="00416968">
              <w:rPr>
                <w:webHidden/>
              </w:rPr>
              <w:instrText xml:space="preserve"> PAGEREF _Toc518302234 \h </w:instrText>
            </w:r>
            <w:r w:rsidR="00416968">
              <w:rPr>
                <w:webHidden/>
              </w:rPr>
            </w:r>
            <w:r w:rsidR="00416968">
              <w:rPr>
                <w:webHidden/>
              </w:rPr>
              <w:fldChar w:fldCharType="separate"/>
            </w:r>
            <w:r w:rsidR="004A3412">
              <w:rPr>
                <w:webHidden/>
              </w:rPr>
              <w:t>5</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5" w:history="1">
            <w:r w:rsidR="00416968" w:rsidRPr="001D5C50">
              <w:rPr>
                <w:rStyle w:val="a9"/>
              </w:rPr>
              <w:t>5.</w:t>
            </w:r>
            <w:r w:rsidR="00416968">
              <w:rPr>
                <w:rFonts w:asciiTheme="minorHAnsi" w:eastAsiaTheme="minorEastAsia" w:hAnsiTheme="minorHAnsi" w:cstheme="minorBidi"/>
                <w:sz w:val="22"/>
                <w:szCs w:val="22"/>
              </w:rPr>
              <w:tab/>
            </w:r>
            <w:r w:rsidR="00416968" w:rsidRPr="001D5C50">
              <w:rPr>
                <w:rStyle w:val="a9"/>
              </w:rPr>
              <w:t>Информация, используемая для оценки</w:t>
            </w:r>
            <w:r w:rsidR="00416968">
              <w:rPr>
                <w:webHidden/>
              </w:rPr>
              <w:tab/>
            </w:r>
            <w:r w:rsidR="00416968">
              <w:rPr>
                <w:webHidden/>
              </w:rPr>
              <w:fldChar w:fldCharType="begin"/>
            </w:r>
            <w:r w:rsidR="00416968">
              <w:rPr>
                <w:webHidden/>
              </w:rPr>
              <w:instrText xml:space="preserve"> PAGEREF _Toc518302235 \h </w:instrText>
            </w:r>
            <w:r w:rsidR="00416968">
              <w:rPr>
                <w:webHidden/>
              </w:rPr>
            </w:r>
            <w:r w:rsidR="00416968">
              <w:rPr>
                <w:webHidden/>
              </w:rPr>
              <w:fldChar w:fldCharType="separate"/>
            </w:r>
            <w:r w:rsidR="004A3412">
              <w:rPr>
                <w:webHidden/>
              </w:rPr>
              <w:t>6</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6" w:history="1">
            <w:r w:rsidR="00416968" w:rsidRPr="001D5C50">
              <w:rPr>
                <w:rStyle w:val="a9"/>
              </w:rPr>
              <w:t>6.</w:t>
            </w:r>
            <w:r w:rsidR="00416968">
              <w:rPr>
                <w:rFonts w:asciiTheme="minorHAnsi" w:eastAsiaTheme="minorEastAsia" w:hAnsiTheme="minorHAnsi" w:cstheme="minorBidi"/>
                <w:sz w:val="22"/>
                <w:szCs w:val="22"/>
              </w:rPr>
              <w:tab/>
            </w:r>
            <w:r w:rsidR="00416968" w:rsidRPr="001D5C50">
              <w:rPr>
                <w:rStyle w:val="a9"/>
              </w:rPr>
              <w:t>Группа финансовых показателей</w:t>
            </w:r>
            <w:r w:rsidR="00416968">
              <w:rPr>
                <w:webHidden/>
              </w:rPr>
              <w:tab/>
            </w:r>
            <w:r w:rsidR="00416968">
              <w:rPr>
                <w:webHidden/>
              </w:rPr>
              <w:fldChar w:fldCharType="begin"/>
            </w:r>
            <w:r w:rsidR="00416968">
              <w:rPr>
                <w:webHidden/>
              </w:rPr>
              <w:instrText xml:space="preserve"> PAGEREF _Toc518302236 \h </w:instrText>
            </w:r>
            <w:r w:rsidR="00416968">
              <w:rPr>
                <w:webHidden/>
              </w:rPr>
            </w:r>
            <w:r w:rsidR="00416968">
              <w:rPr>
                <w:webHidden/>
              </w:rPr>
              <w:fldChar w:fldCharType="separate"/>
            </w:r>
            <w:r w:rsidR="004A3412">
              <w:rPr>
                <w:webHidden/>
              </w:rPr>
              <w:t>7</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7" w:history="1">
            <w:r w:rsidR="00416968" w:rsidRPr="001D5C50">
              <w:rPr>
                <w:rStyle w:val="a9"/>
              </w:rPr>
              <w:t>7.</w:t>
            </w:r>
            <w:r w:rsidR="00416968">
              <w:rPr>
                <w:rFonts w:asciiTheme="minorHAnsi" w:eastAsiaTheme="minorEastAsia" w:hAnsiTheme="minorHAnsi" w:cstheme="minorBidi"/>
                <w:sz w:val="22"/>
                <w:szCs w:val="22"/>
              </w:rPr>
              <w:tab/>
            </w:r>
            <w:r w:rsidR="00416968" w:rsidRPr="001D5C50">
              <w:rPr>
                <w:rStyle w:val="a9"/>
              </w:rPr>
              <w:t>Группа показателей бизнес-риска</w:t>
            </w:r>
            <w:r w:rsidR="00416968">
              <w:rPr>
                <w:webHidden/>
              </w:rPr>
              <w:tab/>
            </w:r>
            <w:r w:rsidR="00416968">
              <w:rPr>
                <w:webHidden/>
              </w:rPr>
              <w:fldChar w:fldCharType="begin"/>
            </w:r>
            <w:r w:rsidR="00416968">
              <w:rPr>
                <w:webHidden/>
              </w:rPr>
              <w:instrText xml:space="preserve"> PAGEREF _Toc518302237 \h </w:instrText>
            </w:r>
            <w:r w:rsidR="00416968">
              <w:rPr>
                <w:webHidden/>
              </w:rPr>
            </w:r>
            <w:r w:rsidR="00416968">
              <w:rPr>
                <w:webHidden/>
              </w:rPr>
              <w:fldChar w:fldCharType="separate"/>
            </w:r>
            <w:r w:rsidR="004A3412">
              <w:rPr>
                <w:webHidden/>
              </w:rPr>
              <w:t>9</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38" w:history="1">
            <w:r w:rsidR="00416968" w:rsidRPr="001D5C50">
              <w:rPr>
                <w:rStyle w:val="a9"/>
              </w:rPr>
              <w:t>8.</w:t>
            </w:r>
            <w:r w:rsidR="00416968">
              <w:rPr>
                <w:rFonts w:asciiTheme="minorHAnsi" w:eastAsiaTheme="minorEastAsia" w:hAnsiTheme="minorHAnsi" w:cstheme="minorBidi"/>
                <w:sz w:val="22"/>
                <w:szCs w:val="22"/>
              </w:rPr>
              <w:tab/>
            </w:r>
            <w:r w:rsidR="00416968" w:rsidRPr="001D5C50">
              <w:rPr>
                <w:rStyle w:val="a9"/>
              </w:rPr>
              <w:t>Оценка в рамках закупочных процедур, участниками которых могут быть только субъекты малого и среднего предпринимательства</w:t>
            </w:r>
            <w:r w:rsidR="00416968">
              <w:rPr>
                <w:webHidden/>
              </w:rPr>
              <w:tab/>
            </w:r>
            <w:r w:rsidR="00416968">
              <w:rPr>
                <w:webHidden/>
              </w:rPr>
              <w:fldChar w:fldCharType="begin"/>
            </w:r>
            <w:r w:rsidR="00416968">
              <w:rPr>
                <w:webHidden/>
              </w:rPr>
              <w:instrText xml:space="preserve"> PAGEREF _Toc518302238 \h </w:instrText>
            </w:r>
            <w:r w:rsidR="00416968">
              <w:rPr>
                <w:webHidden/>
              </w:rPr>
            </w:r>
            <w:r w:rsidR="00416968">
              <w:rPr>
                <w:webHidden/>
              </w:rPr>
              <w:fldChar w:fldCharType="separate"/>
            </w:r>
            <w:r w:rsidR="004A3412">
              <w:rPr>
                <w:webHidden/>
              </w:rPr>
              <w:t>11</w:t>
            </w:r>
            <w:r w:rsidR="00416968">
              <w:rPr>
                <w:webHidden/>
              </w:rPr>
              <w:fldChar w:fldCharType="end"/>
            </w:r>
          </w:hyperlink>
        </w:p>
        <w:p w:rsidR="00416968" w:rsidRPr="00416968" w:rsidRDefault="004E29EC" w:rsidP="00416968">
          <w:pPr>
            <w:pStyle w:val="11"/>
            <w:rPr>
              <w:rFonts w:eastAsiaTheme="minorEastAsia"/>
              <w:sz w:val="22"/>
              <w:szCs w:val="22"/>
            </w:rPr>
          </w:pPr>
          <w:hyperlink w:anchor="_Toc518302239" w:history="1">
            <w:r w:rsidR="00416968" w:rsidRPr="00416968">
              <w:rPr>
                <w:rStyle w:val="a9"/>
              </w:rPr>
              <w:t>9.</w:t>
            </w:r>
            <w:r w:rsidR="00416968" w:rsidRPr="00416968">
              <w:rPr>
                <w:rFonts w:eastAsiaTheme="minorEastAsia"/>
                <w:sz w:val="22"/>
                <w:szCs w:val="22"/>
              </w:rPr>
              <w:tab/>
            </w:r>
            <w:r w:rsidR="00416968" w:rsidRPr="00416968">
              <w:rPr>
                <w:rStyle w:val="a9"/>
              </w:rPr>
              <w:t>Весовые коэффициенты и формирование первичной оценки</w:t>
            </w:r>
            <w:r w:rsidR="00416968" w:rsidRPr="00416968">
              <w:rPr>
                <w:webHidden/>
              </w:rPr>
              <w:tab/>
            </w:r>
            <w:r w:rsidR="00416968" w:rsidRPr="00416968">
              <w:rPr>
                <w:webHidden/>
              </w:rPr>
              <w:fldChar w:fldCharType="begin"/>
            </w:r>
            <w:r w:rsidR="00416968" w:rsidRPr="00416968">
              <w:rPr>
                <w:webHidden/>
              </w:rPr>
              <w:instrText xml:space="preserve"> PAGEREF _Toc518302239 \h </w:instrText>
            </w:r>
            <w:r w:rsidR="00416968" w:rsidRPr="00416968">
              <w:rPr>
                <w:webHidden/>
              </w:rPr>
            </w:r>
            <w:r w:rsidR="00416968" w:rsidRPr="00416968">
              <w:rPr>
                <w:webHidden/>
              </w:rPr>
              <w:fldChar w:fldCharType="separate"/>
            </w:r>
            <w:r w:rsidR="004A3412">
              <w:rPr>
                <w:webHidden/>
              </w:rPr>
              <w:t>11</w:t>
            </w:r>
            <w:r w:rsidR="00416968" w:rsidRP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0" w:history="1">
            <w:r w:rsidR="00416968" w:rsidRPr="001D5C50">
              <w:rPr>
                <w:rStyle w:val="a9"/>
              </w:rPr>
              <w:t>10.</w:t>
            </w:r>
            <w:r w:rsidR="00416968">
              <w:rPr>
                <w:rFonts w:asciiTheme="minorHAnsi" w:eastAsiaTheme="minorEastAsia" w:hAnsiTheme="minorHAnsi" w:cstheme="minorBidi"/>
                <w:sz w:val="22"/>
                <w:szCs w:val="22"/>
              </w:rPr>
              <w:tab/>
            </w:r>
            <w:r w:rsidR="00416968" w:rsidRPr="001D5C50">
              <w:rPr>
                <w:rStyle w:val="a9"/>
              </w:rPr>
              <w:t>Отборочная стадия</w:t>
            </w:r>
            <w:r w:rsidR="00416968">
              <w:rPr>
                <w:webHidden/>
              </w:rPr>
              <w:tab/>
            </w:r>
            <w:r w:rsidR="00416968">
              <w:rPr>
                <w:webHidden/>
              </w:rPr>
              <w:fldChar w:fldCharType="begin"/>
            </w:r>
            <w:r w:rsidR="00416968">
              <w:rPr>
                <w:webHidden/>
              </w:rPr>
              <w:instrText xml:space="preserve"> PAGEREF _Toc518302240 \h </w:instrText>
            </w:r>
            <w:r w:rsidR="00416968">
              <w:rPr>
                <w:webHidden/>
              </w:rPr>
            </w:r>
            <w:r w:rsidR="00416968">
              <w:rPr>
                <w:webHidden/>
              </w:rPr>
              <w:fldChar w:fldCharType="separate"/>
            </w:r>
            <w:r w:rsidR="004A3412">
              <w:rPr>
                <w:webHidden/>
              </w:rPr>
              <w:t>14</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1" w:history="1">
            <w:r w:rsidR="00416968" w:rsidRPr="001D5C50">
              <w:rPr>
                <w:rStyle w:val="a9"/>
              </w:rPr>
              <w:t>11.</w:t>
            </w:r>
            <w:r w:rsidR="00416968">
              <w:rPr>
                <w:rFonts w:asciiTheme="minorHAnsi" w:eastAsiaTheme="minorEastAsia" w:hAnsiTheme="minorHAnsi" w:cstheme="minorBidi"/>
                <w:sz w:val="22"/>
                <w:szCs w:val="22"/>
              </w:rPr>
              <w:tab/>
            </w:r>
            <w:r w:rsidR="00416968" w:rsidRPr="001D5C50">
              <w:rPr>
                <w:rStyle w:val="a9"/>
              </w:rPr>
              <w:t>Оценочная стадия</w:t>
            </w:r>
            <w:r w:rsidR="00416968">
              <w:rPr>
                <w:webHidden/>
              </w:rPr>
              <w:tab/>
            </w:r>
            <w:r w:rsidR="00416968">
              <w:rPr>
                <w:webHidden/>
              </w:rPr>
              <w:fldChar w:fldCharType="begin"/>
            </w:r>
            <w:r w:rsidR="00416968">
              <w:rPr>
                <w:webHidden/>
              </w:rPr>
              <w:instrText xml:space="preserve"> PAGEREF _Toc518302241 \h </w:instrText>
            </w:r>
            <w:r w:rsidR="00416968">
              <w:rPr>
                <w:webHidden/>
              </w:rPr>
            </w:r>
            <w:r w:rsidR="00416968">
              <w:rPr>
                <w:webHidden/>
              </w:rPr>
              <w:fldChar w:fldCharType="separate"/>
            </w:r>
            <w:r w:rsidR="004A3412">
              <w:rPr>
                <w:webHidden/>
              </w:rPr>
              <w:t>15</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2" w:history="1">
            <w:r w:rsidR="00416968" w:rsidRPr="001D5C50">
              <w:rPr>
                <w:rStyle w:val="a9"/>
              </w:rPr>
              <w:t>12.</w:t>
            </w:r>
            <w:r w:rsidR="00416968">
              <w:rPr>
                <w:rFonts w:asciiTheme="minorHAnsi" w:eastAsiaTheme="minorEastAsia" w:hAnsiTheme="minorHAnsi" w:cstheme="minorBidi"/>
                <w:sz w:val="22"/>
                <w:szCs w:val="22"/>
              </w:rPr>
              <w:tab/>
            </w:r>
            <w:r w:rsidR="00416968" w:rsidRPr="001D5C50">
              <w:rPr>
                <w:rStyle w:val="a9"/>
              </w:rPr>
              <w:t>Лист регистрации изменений</w:t>
            </w:r>
            <w:r w:rsidR="00416968">
              <w:rPr>
                <w:webHidden/>
              </w:rPr>
              <w:tab/>
            </w:r>
            <w:r w:rsidR="00416968">
              <w:rPr>
                <w:webHidden/>
              </w:rPr>
              <w:fldChar w:fldCharType="begin"/>
            </w:r>
            <w:r w:rsidR="00416968">
              <w:rPr>
                <w:webHidden/>
              </w:rPr>
              <w:instrText xml:space="preserve"> PAGEREF _Toc518302242 \h </w:instrText>
            </w:r>
            <w:r w:rsidR="00416968">
              <w:rPr>
                <w:webHidden/>
              </w:rPr>
            </w:r>
            <w:r w:rsidR="00416968">
              <w:rPr>
                <w:webHidden/>
              </w:rPr>
              <w:fldChar w:fldCharType="separate"/>
            </w:r>
            <w:r w:rsidR="004A3412">
              <w:rPr>
                <w:webHidden/>
              </w:rPr>
              <w:t>17</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3" w:history="1">
            <w:r w:rsidR="00416968" w:rsidRPr="001D5C50">
              <w:rPr>
                <w:rStyle w:val="a9"/>
              </w:rPr>
              <w:t>13.</w:t>
            </w:r>
            <w:r w:rsidR="00416968">
              <w:rPr>
                <w:rFonts w:asciiTheme="minorHAnsi" w:eastAsiaTheme="minorEastAsia" w:hAnsiTheme="minorHAnsi" w:cstheme="minorBidi"/>
                <w:sz w:val="22"/>
                <w:szCs w:val="22"/>
              </w:rPr>
              <w:tab/>
            </w:r>
            <w:r w:rsidR="00416968" w:rsidRPr="001D5C50">
              <w:rPr>
                <w:rStyle w:val="a9"/>
              </w:rPr>
              <w:t>Права доступа к документу</w:t>
            </w:r>
            <w:r w:rsidR="00416968">
              <w:rPr>
                <w:webHidden/>
              </w:rPr>
              <w:tab/>
            </w:r>
            <w:r w:rsidR="00416968">
              <w:rPr>
                <w:webHidden/>
              </w:rPr>
              <w:fldChar w:fldCharType="begin"/>
            </w:r>
            <w:r w:rsidR="00416968">
              <w:rPr>
                <w:webHidden/>
              </w:rPr>
              <w:instrText xml:space="preserve"> PAGEREF _Toc518302243 \h </w:instrText>
            </w:r>
            <w:r w:rsidR="00416968">
              <w:rPr>
                <w:webHidden/>
              </w:rPr>
            </w:r>
            <w:r w:rsidR="00416968">
              <w:rPr>
                <w:webHidden/>
              </w:rPr>
              <w:fldChar w:fldCharType="separate"/>
            </w:r>
            <w:r w:rsidR="004A3412">
              <w:rPr>
                <w:webHidden/>
              </w:rPr>
              <w:t>17</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4" w:history="1">
            <w:r w:rsidR="00416968" w:rsidRPr="001D5C50">
              <w:rPr>
                <w:rStyle w:val="a9"/>
              </w:rPr>
              <w:t>Приложение 1 Разграничение функциональных обязанностей по проведению финансово-экономической экспертизы</w:t>
            </w:r>
            <w:r w:rsidR="00416968">
              <w:rPr>
                <w:webHidden/>
              </w:rPr>
              <w:tab/>
            </w:r>
            <w:r w:rsidR="00416968">
              <w:rPr>
                <w:webHidden/>
              </w:rPr>
              <w:fldChar w:fldCharType="begin"/>
            </w:r>
            <w:r w:rsidR="00416968">
              <w:rPr>
                <w:webHidden/>
              </w:rPr>
              <w:instrText xml:space="preserve"> PAGEREF _Toc518302244 \h </w:instrText>
            </w:r>
            <w:r w:rsidR="00416968">
              <w:rPr>
                <w:webHidden/>
              </w:rPr>
            </w:r>
            <w:r w:rsidR="00416968">
              <w:rPr>
                <w:webHidden/>
              </w:rPr>
              <w:fldChar w:fldCharType="separate"/>
            </w:r>
            <w:r w:rsidR="004A3412">
              <w:rPr>
                <w:webHidden/>
              </w:rPr>
              <w:t>18</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5" w:history="1">
            <w:r w:rsidR="00416968" w:rsidRPr="001D5C50">
              <w:rPr>
                <w:rStyle w:val="a9"/>
              </w:rPr>
              <w:t>Приложение 2 Алгоритм действия Эксперта при подготовке заключения по направлению финансово-экономической экспертизы с использованием шаблона «Финэкспертиза.</w:t>
            </w:r>
            <w:r w:rsidR="00416968" w:rsidRPr="001D5C50">
              <w:rPr>
                <w:rStyle w:val="a9"/>
                <w:lang w:val="en-US"/>
              </w:rPr>
              <w:t>xls</w:t>
            </w:r>
            <w:r w:rsidR="00416968" w:rsidRPr="001D5C50">
              <w:rPr>
                <w:rStyle w:val="a9"/>
              </w:rPr>
              <w:t>» (по закупочным процедурам, проводимым на общих основаниях)</w:t>
            </w:r>
            <w:r w:rsidR="00416968">
              <w:rPr>
                <w:webHidden/>
              </w:rPr>
              <w:tab/>
            </w:r>
            <w:r w:rsidR="00416968">
              <w:rPr>
                <w:webHidden/>
              </w:rPr>
              <w:fldChar w:fldCharType="begin"/>
            </w:r>
            <w:r w:rsidR="00416968">
              <w:rPr>
                <w:webHidden/>
              </w:rPr>
              <w:instrText xml:space="preserve"> PAGEREF _Toc518302245 \h </w:instrText>
            </w:r>
            <w:r w:rsidR="00416968">
              <w:rPr>
                <w:webHidden/>
              </w:rPr>
            </w:r>
            <w:r w:rsidR="00416968">
              <w:rPr>
                <w:webHidden/>
              </w:rPr>
              <w:fldChar w:fldCharType="separate"/>
            </w:r>
            <w:r w:rsidR="004A3412">
              <w:rPr>
                <w:webHidden/>
              </w:rPr>
              <w:t>20</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6" w:history="1">
            <w:r w:rsidR="00416968" w:rsidRPr="001D5C50">
              <w:rPr>
                <w:rStyle w:val="a9"/>
              </w:rPr>
              <w:t>Приложение 3 Алгоритм действия Эксперта при подготовке заключения по направлению финансово-экономической экспертизы с использованием шаблона «Финэкспертиза_МСП.</w:t>
            </w:r>
            <w:r w:rsidR="00416968" w:rsidRPr="001D5C50">
              <w:rPr>
                <w:rStyle w:val="a9"/>
                <w:lang w:val="en-US"/>
              </w:rPr>
              <w:t>xls</w:t>
            </w:r>
            <w:r w:rsidR="00416968" w:rsidRPr="001D5C50">
              <w:rPr>
                <w:rStyle w:val="a9"/>
              </w:rPr>
              <w:t xml:space="preserve">» (по закупочным процедурам, участниками которых могут быть только субъекты малого и среднего </w:t>
            </w:r>
            <w:r w:rsidR="00416968" w:rsidRPr="00416968">
              <w:rPr>
                <w:rStyle w:val="a9"/>
              </w:rPr>
              <w:t>предпринимательства</w:t>
            </w:r>
            <w:r w:rsidR="00416968" w:rsidRPr="001D5C50">
              <w:rPr>
                <w:rStyle w:val="a9"/>
              </w:rPr>
              <w:t>)</w:t>
            </w:r>
            <w:r w:rsidR="00416968">
              <w:rPr>
                <w:webHidden/>
              </w:rPr>
              <w:tab/>
            </w:r>
            <w:r w:rsidR="00416968">
              <w:rPr>
                <w:webHidden/>
              </w:rPr>
              <w:fldChar w:fldCharType="begin"/>
            </w:r>
            <w:r w:rsidR="00416968">
              <w:rPr>
                <w:webHidden/>
              </w:rPr>
              <w:instrText xml:space="preserve"> PAGEREF _Toc518302246 \h </w:instrText>
            </w:r>
            <w:r w:rsidR="00416968">
              <w:rPr>
                <w:webHidden/>
              </w:rPr>
            </w:r>
            <w:r w:rsidR="00416968">
              <w:rPr>
                <w:webHidden/>
              </w:rPr>
              <w:fldChar w:fldCharType="separate"/>
            </w:r>
            <w:r w:rsidR="004A3412">
              <w:rPr>
                <w:webHidden/>
              </w:rPr>
              <w:t>27</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7" w:history="1">
            <w:r w:rsidR="00416968" w:rsidRPr="001D5C50">
              <w:rPr>
                <w:rStyle w:val="a9"/>
              </w:rPr>
              <w:t>Приложение 4 Формат заключения по направлению финансово-экономической экспертизы с использованием шаблона «Финэкспертиза.</w:t>
            </w:r>
            <w:r w:rsidR="00416968" w:rsidRPr="001D5C50">
              <w:rPr>
                <w:rStyle w:val="a9"/>
                <w:lang w:val="en-US"/>
              </w:rPr>
              <w:t>xls</w:t>
            </w:r>
            <w:r w:rsidR="00416968" w:rsidRPr="001D5C50">
              <w:rPr>
                <w:rStyle w:val="a9"/>
              </w:rPr>
              <w:t>»</w:t>
            </w:r>
            <w:r w:rsidR="00416968">
              <w:rPr>
                <w:webHidden/>
              </w:rPr>
              <w:tab/>
            </w:r>
            <w:r w:rsidR="00416968">
              <w:rPr>
                <w:webHidden/>
              </w:rPr>
              <w:fldChar w:fldCharType="begin"/>
            </w:r>
            <w:r w:rsidR="00416968">
              <w:rPr>
                <w:webHidden/>
              </w:rPr>
              <w:instrText xml:space="preserve"> PAGEREF _Toc518302247 \h </w:instrText>
            </w:r>
            <w:r w:rsidR="00416968">
              <w:rPr>
                <w:webHidden/>
              </w:rPr>
            </w:r>
            <w:r w:rsidR="00416968">
              <w:rPr>
                <w:webHidden/>
              </w:rPr>
              <w:fldChar w:fldCharType="separate"/>
            </w:r>
            <w:r w:rsidR="004A3412">
              <w:rPr>
                <w:webHidden/>
              </w:rPr>
              <w:t>35</w:t>
            </w:r>
            <w:r w:rsidR="00416968">
              <w:rPr>
                <w:webHidden/>
              </w:rPr>
              <w:fldChar w:fldCharType="end"/>
            </w:r>
          </w:hyperlink>
        </w:p>
        <w:p w:rsidR="00416968" w:rsidRDefault="004E29EC" w:rsidP="00416968">
          <w:pPr>
            <w:pStyle w:val="11"/>
            <w:rPr>
              <w:rFonts w:asciiTheme="minorHAnsi" w:eastAsiaTheme="minorEastAsia" w:hAnsiTheme="minorHAnsi" w:cstheme="minorBidi"/>
              <w:sz w:val="22"/>
              <w:szCs w:val="22"/>
            </w:rPr>
          </w:pPr>
          <w:hyperlink w:anchor="_Toc518302248" w:history="1">
            <w:r w:rsidR="00416968" w:rsidRPr="001D5C50">
              <w:rPr>
                <w:rStyle w:val="a9"/>
              </w:rPr>
              <w:t>Приложение 5 Формат заключения по направлению финансово-экономической экспертизы с использованием шаблона «Финэкспертиза_МСП.</w:t>
            </w:r>
            <w:r w:rsidR="00416968" w:rsidRPr="001D5C50">
              <w:rPr>
                <w:rStyle w:val="a9"/>
                <w:lang w:val="en-US"/>
              </w:rPr>
              <w:t>xls</w:t>
            </w:r>
            <w:r w:rsidR="00416968" w:rsidRPr="001D5C50">
              <w:rPr>
                <w:rStyle w:val="a9"/>
              </w:rPr>
              <w:t>»</w:t>
            </w:r>
            <w:r w:rsidR="00416968">
              <w:rPr>
                <w:webHidden/>
              </w:rPr>
              <w:tab/>
            </w:r>
            <w:r w:rsidR="00416968">
              <w:rPr>
                <w:webHidden/>
              </w:rPr>
              <w:fldChar w:fldCharType="begin"/>
            </w:r>
            <w:r w:rsidR="00416968">
              <w:rPr>
                <w:webHidden/>
              </w:rPr>
              <w:instrText xml:space="preserve"> PAGEREF _Toc518302248 \h </w:instrText>
            </w:r>
            <w:r w:rsidR="00416968">
              <w:rPr>
                <w:webHidden/>
              </w:rPr>
            </w:r>
            <w:r w:rsidR="00416968">
              <w:rPr>
                <w:webHidden/>
              </w:rPr>
              <w:fldChar w:fldCharType="separate"/>
            </w:r>
            <w:r w:rsidR="004A3412">
              <w:rPr>
                <w:webHidden/>
              </w:rPr>
              <w:t>37</w:t>
            </w:r>
            <w:r w:rsidR="00416968">
              <w:rPr>
                <w:webHidden/>
              </w:rPr>
              <w:fldChar w:fldCharType="end"/>
            </w:r>
          </w:hyperlink>
        </w:p>
        <w:p w:rsidR="00416968" w:rsidRPr="00256DB8" w:rsidRDefault="00416968" w:rsidP="00221FF7">
          <w:r>
            <w:rPr>
              <w:b/>
              <w:bCs/>
            </w:rPr>
            <w:fldChar w:fldCharType="end"/>
          </w:r>
        </w:p>
      </w:sdtContent>
    </w:sdt>
    <w:p w:rsidR="00C619E2" w:rsidRDefault="00C619E2" w:rsidP="00C242C7">
      <w:pPr>
        <w:spacing w:after="200" w:line="276" w:lineRule="auto"/>
        <w:rPr>
          <w:b/>
        </w:rPr>
      </w:pPr>
      <w:r>
        <w:rPr>
          <w:b/>
        </w:rPr>
        <w:br w:type="page"/>
      </w:r>
    </w:p>
    <w:p w:rsidR="00C76C46" w:rsidRPr="003D53D2" w:rsidRDefault="00C76C46" w:rsidP="00416968">
      <w:pPr>
        <w:pStyle w:val="1"/>
      </w:pPr>
      <w:bookmarkStart w:id="2" w:name="_Toc518302231"/>
      <w:bookmarkStart w:id="3" w:name="Термины"/>
      <w:r w:rsidRPr="003D53D2">
        <w:lastRenderedPageBreak/>
        <w:t>Термины и определения</w:t>
      </w:r>
      <w:bookmarkEnd w:id="2"/>
    </w:p>
    <w:tbl>
      <w:tblPr>
        <w:tblW w:w="5009" w:type="pct"/>
        <w:tblInd w:w="-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3354"/>
        <w:gridCol w:w="6773"/>
      </w:tblGrid>
      <w:tr w:rsidR="00C76C46" w:rsidRPr="003D53D2" w:rsidTr="00D94217">
        <w:tc>
          <w:tcPr>
            <w:tcW w:w="3354" w:type="dxa"/>
            <w:tcBorders>
              <w:top w:val="single" w:sz="6" w:space="0" w:color="000000"/>
              <w:left w:val="single" w:sz="6" w:space="0" w:color="000000"/>
              <w:bottom w:val="single" w:sz="6" w:space="0" w:color="000000"/>
              <w:right w:val="single" w:sz="6" w:space="0" w:color="000000"/>
            </w:tcBorders>
            <w:shd w:val="clear" w:color="auto" w:fill="D9D9D9"/>
            <w:tcMar>
              <w:left w:w="23" w:type="dxa"/>
            </w:tcMar>
            <w:vAlign w:val="center"/>
          </w:tcPr>
          <w:bookmarkEnd w:id="3"/>
          <w:p w:rsidR="00C76C46" w:rsidRPr="003D53D2" w:rsidRDefault="00C76C46" w:rsidP="00C242C7">
            <w:pPr>
              <w:pStyle w:val="TableHeader"/>
              <w:spacing w:before="120" w:after="120" w:line="240" w:lineRule="auto"/>
              <w:rPr>
                <w:rFonts w:ascii="Times New Roman" w:hAnsi="Times New Roman" w:cs="Times New Roman"/>
                <w:szCs w:val="24"/>
              </w:rPr>
            </w:pPr>
            <w:r w:rsidRPr="003D53D2">
              <w:rPr>
                <w:rFonts w:ascii="Times New Roman" w:hAnsi="Times New Roman" w:cs="Times New Roman"/>
                <w:szCs w:val="24"/>
              </w:rPr>
              <w:t>Термины/сокращения</w:t>
            </w:r>
          </w:p>
        </w:tc>
        <w:tc>
          <w:tcPr>
            <w:tcW w:w="6773" w:type="dxa"/>
            <w:tcBorders>
              <w:top w:val="single" w:sz="6" w:space="0" w:color="000000"/>
              <w:left w:val="single" w:sz="6" w:space="0" w:color="000000"/>
              <w:bottom w:val="single" w:sz="6" w:space="0" w:color="000000"/>
              <w:right w:val="single" w:sz="6" w:space="0" w:color="000000"/>
            </w:tcBorders>
            <w:shd w:val="clear" w:color="auto" w:fill="D9D9D9"/>
            <w:tcMar>
              <w:left w:w="23" w:type="dxa"/>
            </w:tcMar>
            <w:vAlign w:val="center"/>
          </w:tcPr>
          <w:p w:rsidR="00C76C46" w:rsidRPr="003D53D2" w:rsidRDefault="00C76C46" w:rsidP="00C242C7">
            <w:pPr>
              <w:pStyle w:val="TableHeader"/>
              <w:spacing w:before="120" w:after="120" w:line="240" w:lineRule="auto"/>
              <w:rPr>
                <w:rFonts w:ascii="Times New Roman" w:hAnsi="Times New Roman" w:cs="Times New Roman"/>
                <w:szCs w:val="24"/>
              </w:rPr>
            </w:pPr>
            <w:r w:rsidRPr="003D53D2">
              <w:rPr>
                <w:rFonts w:ascii="Times New Roman" w:hAnsi="Times New Roman" w:cs="Times New Roman"/>
                <w:szCs w:val="24"/>
              </w:rPr>
              <w:t>Определения</w:t>
            </w:r>
          </w:p>
        </w:tc>
      </w:tr>
      <w:tr w:rsidR="00C76C46" w:rsidRPr="003D53D2" w:rsidTr="00D94217">
        <w:tc>
          <w:tcPr>
            <w:tcW w:w="10127" w:type="dxa"/>
            <w:gridSpan w:val="2"/>
            <w:tcBorders>
              <w:top w:val="single" w:sz="6" w:space="0" w:color="000000"/>
              <w:left w:val="single" w:sz="6" w:space="0" w:color="000000"/>
              <w:bottom w:val="single" w:sz="6" w:space="0" w:color="000000"/>
              <w:right w:val="single" w:sz="6" w:space="0" w:color="000000"/>
            </w:tcBorders>
            <w:shd w:val="clear" w:color="auto" w:fill="D9D9D9"/>
            <w:tcMar>
              <w:left w:w="23" w:type="dxa"/>
            </w:tcMar>
          </w:tcPr>
          <w:p w:rsidR="00C76C46" w:rsidRPr="003D53D2" w:rsidRDefault="00C76C46" w:rsidP="00C242C7">
            <w:pPr>
              <w:pStyle w:val="TableSubheader"/>
              <w:jc w:val="left"/>
              <w:rPr>
                <w:rFonts w:ascii="Times New Roman" w:hAnsi="Times New Roman" w:cs="Times New Roman"/>
                <w:szCs w:val="24"/>
              </w:rPr>
            </w:pPr>
            <w:r w:rsidRPr="003D53D2">
              <w:rPr>
                <w:rFonts w:ascii="Times New Roman" w:hAnsi="Times New Roman" w:cs="Times New Roman"/>
                <w:bCs/>
                <w:szCs w:val="24"/>
              </w:rPr>
              <w:t>Вводимые определения:</w:t>
            </w:r>
          </w:p>
        </w:tc>
      </w:tr>
      <w:tr w:rsidR="00C76C46"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C76C46" w:rsidRPr="003D53D2" w:rsidRDefault="00050DA1" w:rsidP="00C242C7">
            <w:pPr>
              <w:pStyle w:val="TableText"/>
              <w:rPr>
                <w:rFonts w:ascii="Times New Roman" w:hAnsi="Times New Roman" w:cs="Times New Roman"/>
                <w:szCs w:val="24"/>
              </w:rPr>
            </w:pPr>
            <w:r w:rsidRPr="003D53D2">
              <w:rPr>
                <w:rFonts w:ascii="Times New Roman" w:hAnsi="Times New Roman" w:cs="Times New Roman"/>
                <w:szCs w:val="24"/>
              </w:rPr>
              <w:t>Финансово-экономическая экспертиза</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C76C46" w:rsidRPr="003D53D2" w:rsidRDefault="00050DA1" w:rsidP="00C242C7">
            <w:pPr>
              <w:pStyle w:val="TableText"/>
              <w:tabs>
                <w:tab w:val="left" w:pos="2604"/>
              </w:tabs>
              <w:ind w:right="120"/>
              <w:jc w:val="both"/>
              <w:rPr>
                <w:rFonts w:ascii="Times New Roman" w:hAnsi="Times New Roman" w:cs="Times New Roman"/>
                <w:szCs w:val="24"/>
              </w:rPr>
            </w:pPr>
            <w:r w:rsidRPr="003D53D2">
              <w:rPr>
                <w:rFonts w:ascii="Times New Roman" w:hAnsi="Times New Roman" w:cs="Times New Roman"/>
                <w:szCs w:val="24"/>
              </w:rPr>
              <w:t>Оценка устойчивости участников закупочных процедур с позиции финансово-экономических критериев, проводимая для определения соответствия и ранжирования предложений участников закупочных процедур в рамках деятельности экспертной группы и/или закупочной комис</w:t>
            </w:r>
            <w:r w:rsidR="00194443">
              <w:rPr>
                <w:rFonts w:ascii="Times New Roman" w:hAnsi="Times New Roman" w:cs="Times New Roman"/>
                <w:szCs w:val="24"/>
              </w:rPr>
              <w:t>сии Общества</w:t>
            </w:r>
          </w:p>
        </w:tc>
      </w:tr>
      <w:tr w:rsidR="00C76C46" w:rsidRPr="003D53D2" w:rsidTr="00D94217">
        <w:tc>
          <w:tcPr>
            <w:tcW w:w="10127" w:type="dxa"/>
            <w:gridSpan w:val="2"/>
            <w:tcBorders>
              <w:top w:val="single" w:sz="6" w:space="0" w:color="000000"/>
              <w:left w:val="single" w:sz="6" w:space="0" w:color="000000"/>
              <w:bottom w:val="single" w:sz="6" w:space="0" w:color="000000"/>
              <w:right w:val="single" w:sz="6" w:space="0" w:color="000000"/>
            </w:tcBorders>
            <w:shd w:val="clear" w:color="auto" w:fill="D9D9D9"/>
            <w:tcMar>
              <w:left w:w="23" w:type="dxa"/>
            </w:tcMar>
          </w:tcPr>
          <w:p w:rsidR="00C76C46" w:rsidRPr="003D53D2" w:rsidRDefault="00C76C46" w:rsidP="00C242C7">
            <w:pPr>
              <w:pStyle w:val="TableSubheader"/>
              <w:jc w:val="left"/>
              <w:rPr>
                <w:rFonts w:ascii="Times New Roman" w:hAnsi="Times New Roman" w:cs="Times New Roman"/>
                <w:szCs w:val="24"/>
              </w:rPr>
            </w:pPr>
            <w:r w:rsidRPr="00C834DC">
              <w:rPr>
                <w:rFonts w:ascii="Times New Roman" w:hAnsi="Times New Roman" w:cs="Times New Roman"/>
                <w:bCs/>
                <w:color w:val="auto"/>
                <w:szCs w:val="24"/>
              </w:rPr>
              <w:t>Действующие определения:</w:t>
            </w:r>
          </w:p>
        </w:tc>
      </w:tr>
      <w:tr w:rsidR="00EC0CF0"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EC0CF0" w:rsidRPr="00C834DC" w:rsidRDefault="00EC0CF0" w:rsidP="00C242C7">
            <w:pPr>
              <w:pStyle w:val="TableText"/>
              <w:tabs>
                <w:tab w:val="left" w:pos="2010"/>
              </w:tabs>
              <w:rPr>
                <w:rFonts w:ascii="Times New Roman" w:hAnsi="Times New Roman" w:cs="Times New Roman"/>
                <w:szCs w:val="24"/>
                <w:highlight w:val="yellow"/>
              </w:rPr>
            </w:pPr>
            <w:r w:rsidRPr="00EC0CF0">
              <w:rPr>
                <w:rFonts w:ascii="Times New Roman" w:hAnsi="Times New Roman" w:cs="Times New Roman"/>
                <w:szCs w:val="24"/>
              </w:rPr>
              <w:t>Группа «Интер РАО» (Группа)</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EC0CF0" w:rsidRPr="003D53D2" w:rsidRDefault="00EC0CF0" w:rsidP="00C242C7">
            <w:pPr>
              <w:pStyle w:val="TableText"/>
              <w:tabs>
                <w:tab w:val="left" w:pos="2604"/>
              </w:tabs>
              <w:ind w:right="120"/>
              <w:jc w:val="both"/>
              <w:rPr>
                <w:rFonts w:ascii="Times New Roman" w:hAnsi="Times New Roman" w:cs="Times New Roman"/>
                <w:szCs w:val="24"/>
              </w:rPr>
            </w:pPr>
            <w:r>
              <w:rPr>
                <w:rFonts w:ascii="Times New Roman" w:hAnsi="Times New Roman" w:cs="Times New Roman"/>
                <w:szCs w:val="24"/>
              </w:rPr>
              <w:t>ПАО «Интер РАО» и его ДО</w:t>
            </w:r>
          </w:p>
        </w:tc>
      </w:tr>
      <w:tr w:rsidR="00C76C46"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C76C46" w:rsidRPr="003D53D2" w:rsidRDefault="00714BE5" w:rsidP="00C242C7">
            <w:pPr>
              <w:pStyle w:val="TableText"/>
              <w:tabs>
                <w:tab w:val="left" w:pos="2010"/>
              </w:tabs>
              <w:rPr>
                <w:rFonts w:ascii="Times New Roman" w:hAnsi="Times New Roman" w:cs="Times New Roman"/>
                <w:szCs w:val="24"/>
              </w:rPr>
            </w:pPr>
            <w:r w:rsidRPr="000E4B99">
              <w:rPr>
                <w:rFonts w:ascii="Times New Roman" w:hAnsi="Times New Roman" w:cs="Times New Roman"/>
                <w:szCs w:val="24"/>
              </w:rPr>
              <w:t>Дочернее общество</w:t>
            </w:r>
            <w:r w:rsidR="009F6207" w:rsidRPr="000E4B99">
              <w:rPr>
                <w:rFonts w:ascii="Times New Roman" w:hAnsi="Times New Roman" w:cs="Times New Roman"/>
                <w:szCs w:val="24"/>
              </w:rPr>
              <w:t xml:space="preserve"> / ДО</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C76C46" w:rsidRPr="003D53D2" w:rsidRDefault="000E4B99" w:rsidP="00C242C7">
            <w:pPr>
              <w:pStyle w:val="TableText"/>
              <w:tabs>
                <w:tab w:val="left" w:pos="2604"/>
              </w:tabs>
              <w:ind w:right="120"/>
              <w:jc w:val="both"/>
              <w:rPr>
                <w:rFonts w:ascii="Times New Roman" w:hAnsi="Times New Roman" w:cs="Times New Roman"/>
                <w:szCs w:val="24"/>
              </w:rPr>
            </w:pPr>
            <w:r w:rsidRPr="000E4B99">
              <w:rPr>
                <w:rFonts w:ascii="Times New Roman" w:hAnsi="Times New Roman" w:cs="Times New Roman"/>
                <w:szCs w:val="24"/>
              </w:rPr>
              <w:t>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w:t>
            </w:r>
            <w:r>
              <w:rPr>
                <w:rFonts w:ascii="Times New Roman" w:hAnsi="Times New Roman" w:cs="Times New Roman"/>
                <w:szCs w:val="24"/>
              </w:rPr>
              <w:t>ия, принимаемые таким обществом</w:t>
            </w:r>
          </w:p>
        </w:tc>
      </w:tr>
      <w:tr w:rsidR="00714BE5"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714BE5" w:rsidRDefault="00C834DC" w:rsidP="00C242C7">
            <w:pPr>
              <w:pStyle w:val="TableText"/>
              <w:tabs>
                <w:tab w:val="left" w:pos="2010"/>
              </w:tabs>
              <w:rPr>
                <w:rFonts w:ascii="Times New Roman" w:hAnsi="Times New Roman" w:cs="Times New Roman"/>
                <w:szCs w:val="24"/>
              </w:rPr>
            </w:pPr>
            <w:r w:rsidRPr="00C834DC">
              <w:rPr>
                <w:rFonts w:ascii="Times New Roman" w:hAnsi="Times New Roman" w:cs="Times New Roman"/>
                <w:szCs w:val="24"/>
              </w:rPr>
              <w:t>Закупка (процедура закупки,</w:t>
            </w:r>
            <w:r>
              <w:rPr>
                <w:rFonts w:ascii="Times New Roman" w:hAnsi="Times New Roman" w:cs="Times New Roman"/>
                <w:szCs w:val="24"/>
              </w:rPr>
              <w:t xml:space="preserve"> з</w:t>
            </w:r>
            <w:r w:rsidRPr="00C834DC">
              <w:rPr>
                <w:rFonts w:ascii="Times New Roman" w:hAnsi="Times New Roman" w:cs="Times New Roman"/>
                <w:szCs w:val="24"/>
              </w:rPr>
              <w:t>акупочная процедура)</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714BE5" w:rsidRPr="003D53D2" w:rsidRDefault="00C834DC" w:rsidP="00C242C7">
            <w:pPr>
              <w:pStyle w:val="TableText"/>
              <w:tabs>
                <w:tab w:val="left" w:pos="2604"/>
              </w:tabs>
              <w:ind w:right="120"/>
              <w:jc w:val="both"/>
              <w:rPr>
                <w:rFonts w:ascii="Times New Roman" w:hAnsi="Times New Roman" w:cs="Times New Roman"/>
                <w:szCs w:val="24"/>
              </w:rPr>
            </w:pPr>
            <w:r>
              <w:rPr>
                <w:rFonts w:ascii="Times New Roman" w:hAnsi="Times New Roman" w:cs="Times New Roman"/>
                <w:szCs w:val="24"/>
              </w:rPr>
              <w:t>Последовательность действий, осуществляемая в соответствии с локальными нормативными актами Общества и правилами, установленными закупочной документацией (при ее наличии), в результате которой производится выбор контрагента с целью заключения договора о приобретении товаров, работ, услуг</w:t>
            </w:r>
          </w:p>
        </w:tc>
      </w:tr>
      <w:tr w:rsidR="00714BE5" w:rsidRPr="003D53D2" w:rsidTr="00D94217">
        <w:tc>
          <w:tcPr>
            <w:tcW w:w="3354" w:type="dxa"/>
            <w:tcBorders>
              <w:top w:val="single" w:sz="6" w:space="0" w:color="000000"/>
              <w:left w:val="single" w:sz="6" w:space="0" w:color="000000"/>
              <w:bottom w:val="single" w:sz="6" w:space="0" w:color="000000"/>
              <w:right w:val="single" w:sz="6" w:space="0" w:color="000000"/>
            </w:tcBorders>
            <w:shd w:val="clear" w:color="auto" w:fill="auto"/>
            <w:tcMar>
              <w:left w:w="23" w:type="dxa"/>
            </w:tcMar>
          </w:tcPr>
          <w:p w:rsidR="00714BE5" w:rsidRDefault="00714BE5" w:rsidP="00C242C7">
            <w:pPr>
              <w:pStyle w:val="TableText"/>
              <w:tabs>
                <w:tab w:val="left" w:pos="2010"/>
              </w:tabs>
              <w:rPr>
                <w:rFonts w:ascii="Times New Roman" w:hAnsi="Times New Roman" w:cs="Times New Roman"/>
                <w:szCs w:val="24"/>
              </w:rPr>
            </w:pPr>
            <w:r w:rsidRPr="000E4B99">
              <w:rPr>
                <w:rFonts w:ascii="Times New Roman" w:hAnsi="Times New Roman" w:cs="Times New Roman"/>
                <w:szCs w:val="24"/>
              </w:rPr>
              <w:t>Кредитный риск</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714BE5" w:rsidRPr="003D53D2" w:rsidRDefault="000E4B99" w:rsidP="00C242C7">
            <w:pPr>
              <w:pStyle w:val="TableText"/>
              <w:tabs>
                <w:tab w:val="left" w:pos="2604"/>
              </w:tabs>
              <w:ind w:right="120"/>
              <w:jc w:val="both"/>
              <w:rPr>
                <w:rFonts w:ascii="Times New Roman" w:hAnsi="Times New Roman" w:cs="Times New Roman"/>
                <w:szCs w:val="24"/>
              </w:rPr>
            </w:pPr>
            <w:r w:rsidRPr="000E4B99">
              <w:rPr>
                <w:rFonts w:ascii="Times New Roman" w:hAnsi="Times New Roman" w:cs="Times New Roman"/>
                <w:szCs w:val="24"/>
              </w:rPr>
              <w:t>Риск потерь вследствие неисполнения или ненадлежащего исполнения контрагентами Общества своих финансовых обязательств</w:t>
            </w:r>
          </w:p>
        </w:tc>
      </w:tr>
      <w:tr w:rsidR="009F6207"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9F6207" w:rsidRPr="00714BE5" w:rsidRDefault="009F6207" w:rsidP="00C242C7">
            <w:pPr>
              <w:pStyle w:val="TableText"/>
              <w:tabs>
                <w:tab w:val="left" w:pos="2010"/>
              </w:tabs>
              <w:rPr>
                <w:rFonts w:ascii="Times New Roman" w:hAnsi="Times New Roman" w:cs="Times New Roman"/>
                <w:szCs w:val="24"/>
                <w:highlight w:val="yellow"/>
              </w:rPr>
            </w:pPr>
            <w:r w:rsidRPr="00714BE5">
              <w:rPr>
                <w:rFonts w:ascii="Times New Roman" w:hAnsi="Times New Roman" w:cs="Times New Roman"/>
                <w:szCs w:val="24"/>
              </w:rPr>
              <w:t>Общество</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9F6207" w:rsidRPr="003D53D2" w:rsidRDefault="00C834DC" w:rsidP="00D94217">
            <w:pPr>
              <w:pStyle w:val="TableText"/>
              <w:tabs>
                <w:tab w:val="left" w:pos="2604"/>
              </w:tabs>
              <w:ind w:right="120"/>
              <w:jc w:val="both"/>
              <w:rPr>
                <w:rFonts w:ascii="Times New Roman" w:hAnsi="Times New Roman" w:cs="Times New Roman"/>
                <w:szCs w:val="24"/>
              </w:rPr>
            </w:pPr>
            <w:r>
              <w:rPr>
                <w:rFonts w:ascii="Times New Roman" w:hAnsi="Times New Roman" w:cs="Times New Roman"/>
                <w:szCs w:val="24"/>
              </w:rPr>
              <w:t>АО «</w:t>
            </w:r>
            <w:r w:rsidR="00D94217">
              <w:rPr>
                <w:rFonts w:ascii="Times New Roman" w:hAnsi="Times New Roman" w:cs="Times New Roman"/>
                <w:szCs w:val="24"/>
              </w:rPr>
              <w:t>РСП ТПК КГРЭС</w:t>
            </w:r>
            <w:r>
              <w:rPr>
                <w:rFonts w:ascii="Times New Roman" w:hAnsi="Times New Roman" w:cs="Times New Roman"/>
                <w:szCs w:val="24"/>
              </w:rPr>
              <w:t>»</w:t>
            </w:r>
          </w:p>
        </w:tc>
      </w:tr>
      <w:tr w:rsidR="009F6207"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9F6207" w:rsidRPr="00C834DC" w:rsidRDefault="009F6207" w:rsidP="00C242C7">
            <w:pPr>
              <w:pStyle w:val="TableText"/>
              <w:tabs>
                <w:tab w:val="left" w:pos="2010"/>
              </w:tabs>
              <w:rPr>
                <w:rFonts w:ascii="Times New Roman" w:hAnsi="Times New Roman" w:cs="Times New Roman"/>
                <w:szCs w:val="24"/>
              </w:rPr>
            </w:pPr>
            <w:r w:rsidRPr="00C834DC">
              <w:rPr>
                <w:rFonts w:ascii="Times New Roman" w:hAnsi="Times New Roman" w:cs="Times New Roman"/>
                <w:szCs w:val="24"/>
              </w:rPr>
              <w:t>Риск-фактор</w:t>
            </w:r>
            <w:r w:rsidR="00D5405E" w:rsidRPr="00C834DC">
              <w:rPr>
                <w:rFonts w:ascii="Times New Roman" w:hAnsi="Times New Roman" w:cs="Times New Roman"/>
                <w:szCs w:val="24"/>
              </w:rPr>
              <w:t>*</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9F6207" w:rsidRPr="003D53D2" w:rsidRDefault="00D5405E" w:rsidP="00C242C7">
            <w:pPr>
              <w:pStyle w:val="TableText"/>
              <w:tabs>
                <w:tab w:val="left" w:pos="2604"/>
              </w:tabs>
              <w:ind w:right="120"/>
              <w:jc w:val="both"/>
              <w:rPr>
                <w:rFonts w:ascii="Times New Roman" w:hAnsi="Times New Roman" w:cs="Times New Roman"/>
                <w:szCs w:val="24"/>
              </w:rPr>
            </w:pPr>
            <w:r>
              <w:rPr>
                <w:rFonts w:ascii="Times New Roman" w:hAnsi="Times New Roman" w:cs="Times New Roman"/>
                <w:szCs w:val="24"/>
              </w:rPr>
              <w:t>Ф</w:t>
            </w:r>
            <w:r w:rsidRPr="00D5405E">
              <w:rPr>
                <w:rFonts w:ascii="Times New Roman" w:hAnsi="Times New Roman" w:cs="Times New Roman"/>
                <w:szCs w:val="24"/>
              </w:rPr>
              <w:t>актор, реализация которого может явл</w:t>
            </w:r>
            <w:r>
              <w:rPr>
                <w:rFonts w:ascii="Times New Roman" w:hAnsi="Times New Roman" w:cs="Times New Roman"/>
                <w:szCs w:val="24"/>
              </w:rPr>
              <w:t>яться основанием для понижения</w:t>
            </w:r>
            <w:r w:rsidRPr="00D5405E">
              <w:rPr>
                <w:rFonts w:ascii="Times New Roman" w:hAnsi="Times New Roman" w:cs="Times New Roman"/>
                <w:szCs w:val="24"/>
              </w:rPr>
              <w:t xml:space="preserve"> итоговой оценки</w:t>
            </w:r>
            <w:r>
              <w:rPr>
                <w:rFonts w:ascii="Times New Roman" w:hAnsi="Times New Roman" w:cs="Times New Roman"/>
                <w:szCs w:val="24"/>
              </w:rPr>
              <w:t xml:space="preserve"> финансово-экономической устойчивости</w:t>
            </w:r>
          </w:p>
        </w:tc>
      </w:tr>
      <w:tr w:rsidR="009F6207"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9F6207" w:rsidRPr="00C834DC" w:rsidRDefault="009F6207" w:rsidP="00C242C7">
            <w:pPr>
              <w:pStyle w:val="TableText"/>
              <w:tabs>
                <w:tab w:val="left" w:pos="2010"/>
              </w:tabs>
              <w:rPr>
                <w:rFonts w:ascii="Times New Roman" w:hAnsi="Times New Roman" w:cs="Times New Roman"/>
                <w:szCs w:val="24"/>
              </w:rPr>
            </w:pPr>
            <w:r w:rsidRPr="00C834DC">
              <w:rPr>
                <w:rFonts w:ascii="Times New Roman" w:hAnsi="Times New Roman" w:cs="Times New Roman"/>
                <w:szCs w:val="24"/>
              </w:rPr>
              <w:t>Стоп-фактор</w:t>
            </w:r>
            <w:r w:rsidR="00D5405E" w:rsidRPr="00C834DC">
              <w:rPr>
                <w:rFonts w:ascii="Times New Roman" w:hAnsi="Times New Roman" w:cs="Times New Roman"/>
                <w:szCs w:val="24"/>
              </w:rPr>
              <w:t>*</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9F6207" w:rsidRPr="003D53D2" w:rsidRDefault="00D5405E" w:rsidP="00C242C7">
            <w:pPr>
              <w:pStyle w:val="TableText"/>
              <w:tabs>
                <w:tab w:val="left" w:pos="2604"/>
              </w:tabs>
              <w:ind w:right="120"/>
              <w:jc w:val="both"/>
              <w:rPr>
                <w:rFonts w:ascii="Times New Roman" w:hAnsi="Times New Roman" w:cs="Times New Roman"/>
                <w:szCs w:val="24"/>
              </w:rPr>
            </w:pPr>
            <w:r>
              <w:rPr>
                <w:rFonts w:ascii="Times New Roman" w:hAnsi="Times New Roman" w:cs="Times New Roman"/>
                <w:szCs w:val="24"/>
              </w:rPr>
              <w:t xml:space="preserve">Фактор, </w:t>
            </w:r>
            <w:r w:rsidRPr="00D5405E">
              <w:rPr>
                <w:rFonts w:ascii="Times New Roman" w:hAnsi="Times New Roman" w:cs="Times New Roman"/>
                <w:szCs w:val="24"/>
              </w:rPr>
              <w:t>реализация которого должна являться основанием для отклонения предложения участника закупочной процедуры и принятия решения о несоответствии</w:t>
            </w:r>
          </w:p>
        </w:tc>
      </w:tr>
      <w:tr w:rsidR="00C834DC" w:rsidRPr="003D53D2" w:rsidTr="00D94217">
        <w:tc>
          <w:tcPr>
            <w:tcW w:w="3354" w:type="dxa"/>
            <w:tcBorders>
              <w:top w:val="single" w:sz="6" w:space="0" w:color="000000"/>
              <w:left w:val="single" w:sz="6" w:space="0" w:color="000000"/>
              <w:bottom w:val="single" w:sz="6" w:space="0" w:color="000000"/>
              <w:right w:val="single" w:sz="6" w:space="0" w:color="000000"/>
            </w:tcBorders>
            <w:tcMar>
              <w:left w:w="23" w:type="dxa"/>
            </w:tcMar>
          </w:tcPr>
          <w:p w:rsidR="00C834DC" w:rsidRPr="00C834DC" w:rsidRDefault="00C834DC" w:rsidP="00C242C7">
            <w:pPr>
              <w:pStyle w:val="TableText"/>
              <w:tabs>
                <w:tab w:val="left" w:pos="2010"/>
              </w:tabs>
              <w:rPr>
                <w:rFonts w:ascii="Times New Roman" w:hAnsi="Times New Roman" w:cs="Times New Roman"/>
                <w:szCs w:val="24"/>
              </w:rPr>
            </w:pPr>
            <w:r>
              <w:rPr>
                <w:rFonts w:ascii="Times New Roman" w:hAnsi="Times New Roman" w:cs="Times New Roman"/>
                <w:szCs w:val="24"/>
              </w:rPr>
              <w:t>Участник закупки</w:t>
            </w:r>
          </w:p>
        </w:tc>
        <w:tc>
          <w:tcPr>
            <w:tcW w:w="6773" w:type="dxa"/>
            <w:tcBorders>
              <w:top w:val="single" w:sz="6" w:space="0" w:color="000000"/>
              <w:left w:val="single" w:sz="6" w:space="0" w:color="000000"/>
              <w:bottom w:val="single" w:sz="6" w:space="0" w:color="000000"/>
              <w:right w:val="single" w:sz="6" w:space="0" w:color="000000"/>
            </w:tcBorders>
            <w:tcMar>
              <w:left w:w="23" w:type="dxa"/>
            </w:tcMar>
          </w:tcPr>
          <w:p w:rsidR="00C834DC" w:rsidRDefault="00C834DC" w:rsidP="00C242C7">
            <w:pPr>
              <w:pStyle w:val="TableText"/>
              <w:tabs>
                <w:tab w:val="left" w:pos="2604"/>
              </w:tabs>
              <w:ind w:right="120"/>
              <w:jc w:val="both"/>
              <w:rPr>
                <w:rFonts w:ascii="Times New Roman" w:hAnsi="Times New Roman" w:cs="Times New Roman"/>
                <w:szCs w:val="24"/>
              </w:rPr>
            </w:pPr>
            <w:r>
              <w:rPr>
                <w:rFonts w:ascii="Times New Roman" w:hAnsi="Times New Roman" w:cs="Times New Roman"/>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w:t>
            </w:r>
            <w:r w:rsidR="00590AFC">
              <w:rPr>
                <w:rFonts w:ascii="Times New Roman" w:hAnsi="Times New Roman" w:cs="Times New Roman"/>
                <w:szCs w:val="24"/>
              </w:rPr>
              <w:t xml:space="preserve">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которые соответствуют требованиям, установленным заказчиком в закупочной документации в соответствии с Положением о закупке</w:t>
            </w:r>
          </w:p>
        </w:tc>
      </w:tr>
    </w:tbl>
    <w:p w:rsidR="00D5405E" w:rsidRDefault="00D5405E" w:rsidP="00C242C7">
      <w:pPr>
        <w:spacing w:after="120"/>
        <w:rPr>
          <w:rFonts w:eastAsia="Arial"/>
          <w:color w:val="000000"/>
        </w:rPr>
      </w:pPr>
      <w:r w:rsidRPr="00C834DC">
        <w:rPr>
          <w:rFonts w:eastAsia="Arial"/>
          <w:color w:val="000000"/>
        </w:rPr>
        <w:t>*</w:t>
      </w:r>
      <w:r w:rsidR="00C834DC" w:rsidRPr="00C834DC">
        <w:rPr>
          <w:rFonts w:eastAsia="Arial"/>
          <w:color w:val="000000"/>
        </w:rPr>
        <w:t>используется</w:t>
      </w:r>
      <w:r w:rsidR="00C834DC">
        <w:rPr>
          <w:rFonts w:eastAsia="Arial"/>
          <w:color w:val="000000"/>
        </w:rPr>
        <w:t xml:space="preserve"> только для данного ВНД и не является частью Корпоративного глоссария</w:t>
      </w:r>
    </w:p>
    <w:p w:rsidR="000E4B99" w:rsidRPr="00C834DC" w:rsidRDefault="000E4B99" w:rsidP="00C242C7">
      <w:pPr>
        <w:spacing w:after="120"/>
        <w:rPr>
          <w:rFonts w:eastAsia="Arial"/>
          <w:color w:val="000000"/>
        </w:rPr>
      </w:pPr>
    </w:p>
    <w:p w:rsidR="00C76C46" w:rsidRPr="003D53D2" w:rsidRDefault="00C76C46" w:rsidP="00416968">
      <w:pPr>
        <w:pStyle w:val="1"/>
      </w:pPr>
      <w:bookmarkStart w:id="4" w:name="_Toc518302232"/>
      <w:r w:rsidRPr="003D53D2">
        <w:lastRenderedPageBreak/>
        <w:t>Нормативные ссылки</w:t>
      </w:r>
      <w:r w:rsidR="00E41B54">
        <w:rPr>
          <w:rStyle w:val="af6"/>
          <w:b w:val="0"/>
        </w:rPr>
        <w:footnoteReference w:id="1"/>
      </w:r>
      <w:bookmarkEnd w:id="4"/>
    </w:p>
    <w:p w:rsidR="00DE5DA1" w:rsidRDefault="00DE5DA1" w:rsidP="00DE5DA1">
      <w:pPr>
        <w:pStyle w:val="aa"/>
        <w:numPr>
          <w:ilvl w:val="0"/>
          <w:numId w:val="3"/>
        </w:numPr>
        <w:ind w:hanging="720"/>
        <w:jc w:val="both"/>
      </w:pPr>
      <w:r>
        <w:t>Федеральный закон от 18.07.2011 № 223-ФЗ «О закупках товаров, работ, услуг отдельными видами юридических лиц»</w:t>
      </w:r>
    </w:p>
    <w:p w:rsidR="00DE5DA1" w:rsidRDefault="00DE5DA1" w:rsidP="00DE5DA1">
      <w:pPr>
        <w:pStyle w:val="aa"/>
        <w:numPr>
          <w:ilvl w:val="0"/>
          <w:numId w:val="3"/>
        </w:numPr>
        <w:ind w:hanging="720"/>
        <w:jc w:val="both"/>
      </w:pPr>
      <w:r>
        <w:t>Федеральный закон от 31.12.2017 № 505-ФЗ «О внесении изменений в отдельные законодательные акты российской Федерации»</w:t>
      </w:r>
    </w:p>
    <w:p w:rsidR="00337C6C" w:rsidRDefault="00337C6C" w:rsidP="00DE5DA1">
      <w:pPr>
        <w:pStyle w:val="aa"/>
        <w:numPr>
          <w:ilvl w:val="0"/>
          <w:numId w:val="3"/>
        </w:numPr>
        <w:ind w:hanging="720"/>
        <w:jc w:val="both"/>
      </w:pPr>
      <w:r>
        <w:t xml:space="preserve">Политика снабжения </w:t>
      </w:r>
      <w:r w:rsidRPr="0019673C">
        <w:t>АО «</w:t>
      </w:r>
      <w:r w:rsidR="006019A9">
        <w:t>РСП ТПК КГРЭС</w:t>
      </w:r>
      <w:r w:rsidRPr="0019673C">
        <w:t>»</w:t>
      </w:r>
      <w:r>
        <w:t xml:space="preserve"> (</w:t>
      </w:r>
      <w:r w:rsidRPr="0019673C">
        <w:t>Протокол заседания Совета директоров АО «</w:t>
      </w:r>
      <w:r w:rsidR="006019A9">
        <w:t>РСП ТПК КГРЭС» от 14</w:t>
      </w:r>
      <w:r w:rsidRPr="0019673C">
        <w:t>.</w:t>
      </w:r>
      <w:r w:rsidR="006019A9">
        <w:t>07</w:t>
      </w:r>
      <w:r w:rsidRPr="0019673C">
        <w:t>.201</w:t>
      </w:r>
      <w:r>
        <w:t>7</w:t>
      </w:r>
      <w:r w:rsidRPr="0019673C">
        <w:t xml:space="preserve"> № </w:t>
      </w:r>
      <w:r w:rsidR="006019A9">
        <w:t>09-17</w:t>
      </w:r>
      <w:r>
        <w:t>)</w:t>
      </w:r>
    </w:p>
    <w:p w:rsidR="00E41B54" w:rsidRDefault="00E41B54" w:rsidP="00C242C7">
      <w:pPr>
        <w:pStyle w:val="aa"/>
        <w:numPr>
          <w:ilvl w:val="0"/>
          <w:numId w:val="3"/>
        </w:numPr>
        <w:ind w:left="0" w:firstLine="0"/>
        <w:jc w:val="both"/>
      </w:pPr>
      <w:r w:rsidRPr="0019673C">
        <w:t>Положение о порядке проведения регламентированных закупок товаров, работ, услуг</w:t>
      </w:r>
      <w:r>
        <w:t xml:space="preserve"> </w:t>
      </w:r>
      <w:r w:rsidR="00337C6C">
        <w:t xml:space="preserve">для нужд </w:t>
      </w:r>
      <w:r w:rsidR="00337C6C" w:rsidRPr="0019673C">
        <w:t>АО «</w:t>
      </w:r>
      <w:r w:rsidR="00B80ED4">
        <w:t>РСП ТПК КГРЭС»</w:t>
      </w:r>
      <w:r w:rsidR="00337C6C">
        <w:t xml:space="preserve"> </w:t>
      </w:r>
      <w:r>
        <w:t>(</w:t>
      </w:r>
      <w:r w:rsidRPr="0019673C">
        <w:t>Протокол заседания Совета директоров АО «</w:t>
      </w:r>
      <w:r w:rsidR="00B80ED4">
        <w:t>РСП ТПК КГРЭС</w:t>
      </w:r>
      <w:r w:rsidRPr="0019673C">
        <w:t xml:space="preserve">» от </w:t>
      </w:r>
      <w:r w:rsidR="00B80ED4">
        <w:t>29</w:t>
      </w:r>
      <w:r w:rsidRPr="0019673C">
        <w:t xml:space="preserve">.06.2018 № </w:t>
      </w:r>
      <w:r w:rsidR="00B80ED4">
        <w:t>07-18</w:t>
      </w:r>
      <w:r>
        <w:t>)</w:t>
      </w:r>
    </w:p>
    <w:p w:rsidR="00E41B54" w:rsidRDefault="00E41B54" w:rsidP="00C242C7">
      <w:pPr>
        <w:pStyle w:val="aa"/>
        <w:numPr>
          <w:ilvl w:val="0"/>
          <w:numId w:val="3"/>
        </w:numPr>
        <w:ind w:left="0" w:firstLine="0"/>
        <w:jc w:val="both"/>
      </w:pPr>
      <w:r w:rsidRPr="00976C56">
        <w:t>Регламент бизнес-процесса проведения экспертной оценки заявок на участие в закупке</w:t>
      </w:r>
      <w:r>
        <w:t xml:space="preserve"> </w:t>
      </w:r>
      <w:r w:rsidR="00B80ED4">
        <w:t xml:space="preserve">АО </w:t>
      </w:r>
      <w:r w:rsidR="003E199B" w:rsidRPr="003E199B">
        <w:t>«</w:t>
      </w:r>
      <w:r w:rsidR="00B80ED4">
        <w:t>РСП ТПК КГРЭС</w:t>
      </w:r>
      <w:r w:rsidR="003E199B" w:rsidRPr="003E199B">
        <w:t>»</w:t>
      </w:r>
      <w:r w:rsidR="003E199B">
        <w:t xml:space="preserve"> </w:t>
      </w:r>
      <w:r>
        <w:t xml:space="preserve">(утв. приказом от </w:t>
      </w:r>
      <w:r w:rsidR="003E199B">
        <w:t>1</w:t>
      </w:r>
      <w:r w:rsidR="00B80ED4">
        <w:t>1</w:t>
      </w:r>
      <w:r>
        <w:t>.0</w:t>
      </w:r>
      <w:r w:rsidR="00B80ED4">
        <w:t>9</w:t>
      </w:r>
      <w:r>
        <w:t>.201</w:t>
      </w:r>
      <w:r w:rsidR="00B80ED4">
        <w:t>7</w:t>
      </w:r>
      <w:r>
        <w:t xml:space="preserve"> № </w:t>
      </w:r>
      <w:r w:rsidR="00B80ED4">
        <w:t>555</w:t>
      </w:r>
      <w:r>
        <w:t>)</w:t>
      </w:r>
    </w:p>
    <w:p w:rsidR="00065FF6" w:rsidRDefault="00065FF6" w:rsidP="00C242C7">
      <w:pPr>
        <w:pStyle w:val="aa"/>
        <w:numPr>
          <w:ilvl w:val="0"/>
          <w:numId w:val="3"/>
        </w:numPr>
        <w:ind w:left="0" w:firstLine="0"/>
        <w:jc w:val="both"/>
      </w:pPr>
      <w:r>
        <w:t xml:space="preserve">Регламент процесса «Проведение закупочных процедур» </w:t>
      </w:r>
      <w:r w:rsidR="00B80ED4">
        <w:t>АО «РСП ТПК КГРЭС»</w:t>
      </w:r>
      <w:r>
        <w:t xml:space="preserve"> (утв. приказом от </w:t>
      </w:r>
      <w:r w:rsidR="00B80ED4">
        <w:t>11</w:t>
      </w:r>
      <w:r>
        <w:t xml:space="preserve">.09.2017 № </w:t>
      </w:r>
      <w:r w:rsidR="00B80ED4">
        <w:t>552)</w:t>
      </w:r>
    </w:p>
    <w:p w:rsidR="00065FF6" w:rsidRDefault="00065FF6" w:rsidP="00C242C7">
      <w:pPr>
        <w:pStyle w:val="aa"/>
        <w:numPr>
          <w:ilvl w:val="0"/>
          <w:numId w:val="3"/>
        </w:numPr>
        <w:ind w:left="0" w:firstLine="0"/>
        <w:jc w:val="both"/>
      </w:pPr>
      <w:r>
        <w:t xml:space="preserve">Положение о комиссии «Закупочная комиссия </w:t>
      </w:r>
      <w:r w:rsidR="00B80ED4">
        <w:t>АО РСП ТПК КГРЭС</w:t>
      </w:r>
      <w:r>
        <w:t>» (утв. приказом от 11.0</w:t>
      </w:r>
      <w:r w:rsidR="00B80ED4">
        <w:t>9</w:t>
      </w:r>
      <w:r>
        <w:t>.201</w:t>
      </w:r>
      <w:r w:rsidR="00B80ED4">
        <w:t>7</w:t>
      </w:r>
      <w:r>
        <w:t xml:space="preserve"> № </w:t>
      </w:r>
      <w:r w:rsidR="00B80ED4">
        <w:t>557)</w:t>
      </w:r>
      <w:r>
        <w:t xml:space="preserve"> </w:t>
      </w:r>
    </w:p>
    <w:p w:rsidR="00E41B54" w:rsidRPr="003D53D2" w:rsidRDefault="00E41B54" w:rsidP="00C242C7">
      <w:pPr>
        <w:pStyle w:val="aa"/>
        <w:ind w:left="0"/>
        <w:jc w:val="both"/>
      </w:pPr>
    </w:p>
    <w:p w:rsidR="00C76C46" w:rsidRPr="003D53D2" w:rsidRDefault="00C76C46" w:rsidP="00416968">
      <w:pPr>
        <w:pStyle w:val="1"/>
      </w:pPr>
      <w:bookmarkStart w:id="5" w:name="_Toc518302233"/>
      <w:r w:rsidRPr="003D53D2">
        <w:t>Назначение и область применения</w:t>
      </w:r>
      <w:bookmarkEnd w:id="5"/>
    </w:p>
    <w:p w:rsidR="00BB2D98" w:rsidRPr="003D53D2" w:rsidRDefault="00BB2D98" w:rsidP="00C242C7">
      <w:pPr>
        <w:pStyle w:val="aa"/>
        <w:numPr>
          <w:ilvl w:val="1"/>
          <w:numId w:val="1"/>
        </w:numPr>
        <w:ind w:left="0" w:firstLine="0"/>
        <w:jc w:val="both"/>
      </w:pPr>
      <w:bookmarkStart w:id="6" w:name="_Toc145470728"/>
      <w:bookmarkStart w:id="7" w:name="_Toc145758338"/>
      <w:bookmarkStart w:id="8" w:name="_Toc145758464"/>
      <w:bookmarkStart w:id="9" w:name="_Toc145758988"/>
      <w:bookmarkStart w:id="10" w:name="_Toc145759251"/>
      <w:bookmarkStart w:id="11" w:name="_Toc145760285"/>
      <w:bookmarkStart w:id="12" w:name="_Toc162934410"/>
      <w:r w:rsidRPr="003D53D2">
        <w:t>Назначение</w:t>
      </w:r>
      <w:bookmarkEnd w:id="6"/>
      <w:bookmarkEnd w:id="7"/>
      <w:bookmarkEnd w:id="8"/>
      <w:bookmarkEnd w:id="9"/>
      <w:bookmarkEnd w:id="10"/>
      <w:bookmarkEnd w:id="11"/>
      <w:bookmarkEnd w:id="12"/>
    </w:p>
    <w:p w:rsidR="00BB2D98" w:rsidRPr="003D53D2" w:rsidRDefault="00BB2D98" w:rsidP="00C242C7">
      <w:pPr>
        <w:numPr>
          <w:ilvl w:val="0"/>
          <w:numId w:val="2"/>
        </w:numPr>
        <w:ind w:left="0" w:firstLine="0"/>
        <w:jc w:val="both"/>
      </w:pPr>
      <w:bookmarkStart w:id="13" w:name="_Toc322961172"/>
      <w:bookmarkStart w:id="14" w:name="_Toc326066007"/>
      <w:bookmarkStart w:id="15" w:name="_Toc326066277"/>
      <w:r w:rsidRPr="003D53D2">
        <w:t>Экспертиза финансово-экономической устойчивости участников закупочных процедур, а также предлагаемых ими финансовых условий сделки (финансово-экономическая экспе</w:t>
      </w:r>
      <w:r w:rsidR="00194443">
        <w:t>ртиза) проводится Обществом</w:t>
      </w:r>
      <w:r w:rsidRPr="003D53D2">
        <w:t xml:space="preserve"> в рамках закупочной деятельности во избежание потерь и с целью ограниче</w:t>
      </w:r>
      <w:r w:rsidR="00454A99">
        <w:t>ния подверженности Общества</w:t>
      </w:r>
      <w:r w:rsidRPr="003D53D2">
        <w:t xml:space="preserve"> кредитному риску, в том числе для выявления и отклонения таких участников конкурентных закупочных процедур, которые заведомо неспособны исполнить свои обязательства.</w:t>
      </w:r>
      <w:bookmarkEnd w:id="13"/>
      <w:bookmarkEnd w:id="14"/>
      <w:bookmarkEnd w:id="15"/>
    </w:p>
    <w:p w:rsidR="00BB2D98" w:rsidRPr="003D53D2" w:rsidRDefault="00BB2D98" w:rsidP="00C242C7">
      <w:pPr>
        <w:numPr>
          <w:ilvl w:val="0"/>
          <w:numId w:val="2"/>
        </w:numPr>
        <w:ind w:left="0" w:firstLine="0"/>
        <w:jc w:val="both"/>
      </w:pPr>
      <w:bookmarkStart w:id="16" w:name="_Toc322961173"/>
      <w:bookmarkStart w:id="17" w:name="_Toc326066008"/>
      <w:bookmarkStart w:id="18" w:name="_Toc326066278"/>
      <w:r w:rsidRPr="003D53D2">
        <w:t>Настоящая Методика направлена на формирование единого подхода к проведению финансово-экономической экспертизы, стандартизацию набора используемых отборочных и оценочных критериев, достижение сопоставимости оценок, полученных экспертными группами и/или закупочными комиссиями, повышение обоснованности принимаемых управленческих решений по ранжированию предложений участников и выбору победителя конкурентной закупочной процедуры.</w:t>
      </w:r>
      <w:bookmarkEnd w:id="16"/>
      <w:bookmarkEnd w:id="17"/>
      <w:bookmarkEnd w:id="18"/>
    </w:p>
    <w:p w:rsidR="00BB2D98" w:rsidRPr="003D53D2" w:rsidRDefault="00BB2D98" w:rsidP="00C242C7">
      <w:pPr>
        <w:pStyle w:val="aa"/>
        <w:numPr>
          <w:ilvl w:val="1"/>
          <w:numId w:val="1"/>
        </w:numPr>
        <w:spacing w:before="120" w:after="120"/>
        <w:ind w:left="0" w:firstLine="0"/>
      </w:pPr>
      <w:bookmarkStart w:id="19" w:name="_Toc326066009"/>
      <w:bookmarkStart w:id="20" w:name="_Toc326066279"/>
      <w:r w:rsidRPr="003D53D2">
        <w:t>Методика устанавливает набор и значимость отборочных и оценочных критериев при проведении финансово-экономической экспертизы.</w:t>
      </w:r>
      <w:bookmarkEnd w:id="19"/>
      <w:bookmarkEnd w:id="20"/>
    </w:p>
    <w:p w:rsidR="00BB2D98" w:rsidRPr="003D53D2" w:rsidRDefault="00BB2D98" w:rsidP="00C242C7">
      <w:pPr>
        <w:pStyle w:val="aa"/>
        <w:numPr>
          <w:ilvl w:val="1"/>
          <w:numId w:val="1"/>
        </w:numPr>
        <w:ind w:left="0" w:firstLine="0"/>
        <w:jc w:val="both"/>
      </w:pPr>
      <w:r w:rsidRPr="003D53D2">
        <w:t>Область применения</w:t>
      </w:r>
    </w:p>
    <w:p w:rsidR="00BB2D98" w:rsidRPr="003D53D2" w:rsidRDefault="00BB2D98" w:rsidP="00C242C7">
      <w:pPr>
        <w:numPr>
          <w:ilvl w:val="0"/>
          <w:numId w:val="2"/>
        </w:numPr>
        <w:ind w:left="0" w:firstLine="0"/>
        <w:jc w:val="both"/>
      </w:pPr>
      <w:bookmarkStart w:id="21" w:name="_Toc322961174"/>
      <w:bookmarkStart w:id="22" w:name="_Toc326066010"/>
      <w:bookmarkStart w:id="23" w:name="_Toc326066280"/>
      <w:r w:rsidRPr="003D53D2">
        <w:t>Методика прим</w:t>
      </w:r>
      <w:r w:rsidR="00454A99">
        <w:t>еняется работником Общества</w:t>
      </w:r>
      <w:r w:rsidRPr="003D53D2">
        <w:t>, привлеченным для оценки финансово-экономической устойчивости участников закупочной процедуры в рамках деятельности экспертной группы и/или закупочной комиссии по оценке и ранжированию предложений участников закупочной процедуры (далее - Эксперт).</w:t>
      </w:r>
      <w:bookmarkEnd w:id="21"/>
      <w:bookmarkEnd w:id="22"/>
      <w:bookmarkEnd w:id="23"/>
    </w:p>
    <w:p w:rsidR="00BB2D98" w:rsidRPr="003D53D2" w:rsidRDefault="00BB2D98" w:rsidP="00C242C7">
      <w:pPr>
        <w:numPr>
          <w:ilvl w:val="0"/>
          <w:numId w:val="2"/>
        </w:numPr>
        <w:spacing w:before="120"/>
        <w:ind w:left="0" w:firstLine="0"/>
        <w:jc w:val="both"/>
        <w:rPr>
          <w:b/>
          <w:bCs/>
        </w:rPr>
      </w:pPr>
      <w:bookmarkStart w:id="24" w:name="_Toc322961175"/>
      <w:bookmarkStart w:id="25" w:name="_Toc326066011"/>
      <w:bookmarkStart w:id="26" w:name="_Toc326066281"/>
      <w:r w:rsidRPr="003D53D2">
        <w:t>Действие Методики распространяется на:</w:t>
      </w:r>
    </w:p>
    <w:p w:rsidR="00BB2D98" w:rsidRPr="003D53D2" w:rsidRDefault="00454A99" w:rsidP="00C242C7">
      <w:pPr>
        <w:numPr>
          <w:ilvl w:val="0"/>
          <w:numId w:val="5"/>
        </w:numPr>
        <w:ind w:left="284" w:firstLine="0"/>
        <w:jc w:val="both"/>
        <w:rPr>
          <w:b/>
          <w:bCs/>
        </w:rPr>
      </w:pPr>
      <w:r>
        <w:t>работников Общества</w:t>
      </w:r>
      <w:r w:rsidR="00BB2D98" w:rsidRPr="003D53D2">
        <w:t>, привлеченных в качестве Экспертов для проведения экспертизы финансово-экономической устойчивости участников закупочных процедур,</w:t>
      </w:r>
    </w:p>
    <w:p w:rsidR="00BB2D98" w:rsidRPr="003D53D2" w:rsidRDefault="00BB2D98" w:rsidP="00C242C7">
      <w:pPr>
        <w:numPr>
          <w:ilvl w:val="0"/>
          <w:numId w:val="5"/>
        </w:numPr>
        <w:ind w:left="284" w:firstLine="0"/>
        <w:jc w:val="both"/>
        <w:rPr>
          <w:b/>
          <w:bCs/>
        </w:rPr>
      </w:pPr>
      <w:r w:rsidRPr="003D53D2">
        <w:t>на работников, использующих результаты указанной экспертизы при ранжировании предложений участников закупочной процедуры (членов закупочной комиссии</w:t>
      </w:r>
      <w:bookmarkEnd w:id="24"/>
      <w:r w:rsidR="00454A99">
        <w:t xml:space="preserve"> Общества</w:t>
      </w:r>
      <w:r w:rsidRPr="003D53D2">
        <w:t>),</w:t>
      </w:r>
    </w:p>
    <w:p w:rsidR="00BB2D98" w:rsidRPr="003D53D2" w:rsidRDefault="00BB2D98" w:rsidP="00C242C7">
      <w:pPr>
        <w:numPr>
          <w:ilvl w:val="0"/>
          <w:numId w:val="5"/>
        </w:numPr>
        <w:ind w:left="284" w:firstLine="0"/>
        <w:jc w:val="both"/>
        <w:rPr>
          <w:b/>
          <w:bCs/>
        </w:rPr>
      </w:pPr>
      <w:r w:rsidRPr="003D53D2">
        <w:lastRenderedPageBreak/>
        <w:t xml:space="preserve"> на работников, осуществляющих последующий контроль и оценку эффективности мероприятий по проведению финансово-экономической экспертизы.</w:t>
      </w:r>
    </w:p>
    <w:p w:rsidR="00BB2D98" w:rsidRPr="003D53D2" w:rsidRDefault="00BB2D98" w:rsidP="00C242C7">
      <w:pPr>
        <w:numPr>
          <w:ilvl w:val="0"/>
          <w:numId w:val="2"/>
        </w:numPr>
        <w:spacing w:before="120"/>
        <w:ind w:left="0" w:firstLine="0"/>
        <w:jc w:val="both"/>
      </w:pPr>
      <w:r w:rsidRPr="003D53D2">
        <w:t>Разграничение функциональных ролей между экспертами по проведению финансово-экономической экспертизы, осуществлению последующего контроля и оценке эффективности мероприятий приводится в приложении 1 к Методике.</w:t>
      </w:r>
      <w:bookmarkEnd w:id="25"/>
      <w:bookmarkEnd w:id="26"/>
    </w:p>
    <w:p w:rsidR="00072E2C" w:rsidRDefault="00072E2C" w:rsidP="00C242C7">
      <w:pPr>
        <w:numPr>
          <w:ilvl w:val="0"/>
          <w:numId w:val="2"/>
        </w:numPr>
        <w:ind w:left="0" w:firstLine="0"/>
        <w:jc w:val="both"/>
      </w:pPr>
      <w:r>
        <w:t>При заключении Обществом договоров без организации конкурентных закупочных процедур оценка финансовой устойчивости контрагента проводится в соответствии с настоящей Методикой согласно разграничению функциональных обязанностей по проведению финансово-экономической экспертизы, определённому Приложением 1 к Методике, и внутренними нормативными документами Группы.</w:t>
      </w:r>
    </w:p>
    <w:p w:rsidR="000D70CF" w:rsidRDefault="000D70CF" w:rsidP="00C242C7">
      <w:pPr>
        <w:jc w:val="both"/>
      </w:pPr>
    </w:p>
    <w:p w:rsidR="00E41B54" w:rsidRDefault="00E41B54" w:rsidP="00C242C7">
      <w:pPr>
        <w:jc w:val="both"/>
      </w:pPr>
    </w:p>
    <w:p w:rsidR="00BB2D98" w:rsidRPr="00D177A1" w:rsidRDefault="00BB2D98" w:rsidP="00416968">
      <w:pPr>
        <w:pStyle w:val="1"/>
      </w:pPr>
      <w:bookmarkStart w:id="27" w:name="_Toc314226165"/>
      <w:bookmarkStart w:id="28" w:name="_Toc322961178"/>
      <w:bookmarkStart w:id="29" w:name="_Toc326066013"/>
      <w:bookmarkStart w:id="30" w:name="_Toc326066283"/>
      <w:bookmarkStart w:id="31" w:name="_Toc326067314"/>
      <w:bookmarkStart w:id="32" w:name="_Toc516132522"/>
      <w:bookmarkStart w:id="33" w:name="_Toc518302234"/>
      <w:r w:rsidRPr="00D177A1">
        <w:t>Общие положения</w:t>
      </w:r>
      <w:bookmarkEnd w:id="27"/>
      <w:bookmarkEnd w:id="28"/>
      <w:bookmarkEnd w:id="29"/>
      <w:bookmarkEnd w:id="30"/>
      <w:bookmarkEnd w:id="31"/>
      <w:bookmarkEnd w:id="32"/>
      <w:bookmarkEnd w:id="33"/>
    </w:p>
    <w:p w:rsidR="00BB2D98" w:rsidRPr="003D53D2" w:rsidRDefault="00BB2D98" w:rsidP="00C242C7">
      <w:pPr>
        <w:numPr>
          <w:ilvl w:val="0"/>
          <w:numId w:val="2"/>
        </w:numPr>
        <w:ind w:left="0" w:firstLine="0"/>
        <w:jc w:val="both"/>
      </w:pPr>
      <w:r w:rsidRPr="003D53D2">
        <w:t>Оценка степени соответствия участника закупочной процедуры требованиям закупочной документации, в том числе настоящей Методики в рамках финансово-экономической экспертизы осуществляется с позиции финансово-экономических критериев и не охватывает юридических и технических вопросов.</w:t>
      </w:r>
    </w:p>
    <w:p w:rsidR="00BB2D98" w:rsidRPr="003D53D2" w:rsidRDefault="00BB2D98" w:rsidP="00C242C7">
      <w:pPr>
        <w:numPr>
          <w:ilvl w:val="0"/>
          <w:numId w:val="2"/>
        </w:numPr>
        <w:ind w:left="0" w:firstLine="0"/>
        <w:jc w:val="both"/>
      </w:pPr>
      <w:r w:rsidRPr="003D53D2">
        <w:t>Вес (степень значимости) финансово-экономической экспертизы, осуществляемой наряду с коммерческой, юридической, технической и, возможно, другими видами экспертиз, в итоговой оценке при ранжировании предложений участников конкурентной закупочной процедуры должен составлять не менее 10%.</w:t>
      </w:r>
    </w:p>
    <w:p w:rsidR="00BB2D98" w:rsidRPr="003D53D2" w:rsidRDefault="00BB2D98" w:rsidP="00C242C7">
      <w:pPr>
        <w:numPr>
          <w:ilvl w:val="0"/>
          <w:numId w:val="2"/>
        </w:numPr>
        <w:ind w:left="0" w:firstLine="0"/>
        <w:jc w:val="both"/>
      </w:pPr>
      <w:r w:rsidRPr="003D53D2">
        <w:t>Финансово-экономическая экспертиза согласно настоящей Методике является обязательной в рамках каждой закупочной процедуры, независимо от того проводилась ли оценка финансового состояния конкретных участников ранее (в рамках аккредитации или другой закупочной процедуры).</w:t>
      </w:r>
    </w:p>
    <w:p w:rsidR="00BB2D98" w:rsidRPr="003D53D2" w:rsidRDefault="00BB2D98" w:rsidP="00C242C7">
      <w:pPr>
        <w:numPr>
          <w:ilvl w:val="0"/>
          <w:numId w:val="2"/>
        </w:numPr>
        <w:ind w:left="0" w:firstLine="0"/>
        <w:jc w:val="both"/>
      </w:pPr>
      <w:r w:rsidRPr="003D53D2">
        <w:t>В рамках финансово-экономической экспертизы должно быть принято решение о том, способен ли участник закупочной процедуры в оценке с точки зрения финансово-экономических критериев осуществить необходимую поставку или оказать услугу. Кроме этого должна быть получена оценка о степени его соответствия минимально приемлемым, общим для всех закупочных процедур, требованиям, определенным настоящей Методикой, а также специфическим требованиям, установлен</w:t>
      </w:r>
      <w:r w:rsidR="00454A99">
        <w:t>ным подразделением Общества</w:t>
      </w:r>
      <w:r w:rsidRPr="003D53D2">
        <w:t>, в интересах которого осуществляется закупка, и закрепленным в закупочной документации. Предложения участников конкурентных закупочных процедур, которые заведомо неспособны исполнить свои обязательства, должны быть отклонены.</w:t>
      </w:r>
    </w:p>
    <w:p w:rsidR="00BB2D98" w:rsidRPr="003D53D2" w:rsidRDefault="00BB2D98" w:rsidP="00C242C7">
      <w:pPr>
        <w:numPr>
          <w:ilvl w:val="0"/>
          <w:numId w:val="2"/>
        </w:numPr>
        <w:ind w:left="0" w:firstLine="0"/>
        <w:jc w:val="both"/>
      </w:pPr>
      <w:r w:rsidRPr="003D53D2">
        <w:t>Для определения соответствия финансово-экономического состояния участников закупочных процедур минимально приемлемым требованиям с учетом финансовых условий сделки (цены, условий оплаты, наличия обеспечения), а также для ранжирования участников между собой в зависимости от их финансового состояния применяется балльно-весовой метод.</w:t>
      </w:r>
    </w:p>
    <w:p w:rsidR="00BB2D98" w:rsidRPr="003D53D2" w:rsidRDefault="00BB2D98" w:rsidP="00C242C7">
      <w:pPr>
        <w:numPr>
          <w:ilvl w:val="0"/>
          <w:numId w:val="2"/>
        </w:numPr>
        <w:ind w:left="0" w:firstLine="0"/>
        <w:jc w:val="both"/>
      </w:pPr>
      <w:r w:rsidRPr="003D53D2">
        <w:t>В качестве критериев оценки для ранжирования участников используется набор максимально независимых финансовых показателей и показателей бизнес-риска. Каждому финансовому показателю в зависимости от принимаемого значения присваивается балл от 0 до 1, где 0 соответствует неудовлетворительному, а 1 – отличному значению финансового показателя. Показателям бизнес-риска также присваиваются баллы от 0 до 1. Сумма полученных баллов, умноженных на весовые коэффициенты, дает первичную оценку от 0 до 1 согласно которой ранжируются предложения участников закупочных процедур с учетом их финансовой устойчивости и предлагаемых финансовых условий сделки, а также принимается решение о соответствии требованиям закупочной документации, в том числе настоящей Методики.</w:t>
      </w:r>
    </w:p>
    <w:p w:rsidR="00BB2D98" w:rsidRPr="003D53D2" w:rsidRDefault="00BB2D98" w:rsidP="00C242C7">
      <w:pPr>
        <w:numPr>
          <w:ilvl w:val="0"/>
          <w:numId w:val="2"/>
        </w:numPr>
        <w:ind w:left="0" w:firstLine="0"/>
        <w:jc w:val="both"/>
      </w:pPr>
      <w:r w:rsidRPr="003D53D2">
        <w:lastRenderedPageBreak/>
        <w:t>Порядок применения положений настоящей Методики Экспертами в ходе проведения финансово-экономической экспертизы определен в Приложении 2 к Методике.</w:t>
      </w:r>
    </w:p>
    <w:p w:rsidR="00BB2D98" w:rsidRPr="003D53D2" w:rsidRDefault="00BB2D98" w:rsidP="00C242C7">
      <w:pPr>
        <w:numPr>
          <w:ilvl w:val="0"/>
          <w:numId w:val="2"/>
        </w:numPr>
        <w:ind w:left="0" w:firstLine="0"/>
        <w:jc w:val="both"/>
      </w:pPr>
      <w:r w:rsidRPr="003D53D2">
        <w:t>Порядок применения Экспертами положений настоящей Методики для закупочных процедур, участниками которых могут быть только субъекты малого и среднего предпринимательства в ходе проведения финансово-экономической экспертизы определен в Приложении 3 к Методике.</w:t>
      </w:r>
    </w:p>
    <w:p w:rsidR="00BB2D98" w:rsidRDefault="00BB2D98" w:rsidP="00C242C7">
      <w:pPr>
        <w:numPr>
          <w:ilvl w:val="0"/>
          <w:numId w:val="2"/>
        </w:numPr>
        <w:ind w:left="0" w:firstLine="0"/>
        <w:jc w:val="both"/>
      </w:pPr>
      <w:r w:rsidRPr="003D53D2">
        <w:t>В случае если, исходя из особенностей закупочной процедуры и требований закупочной документации существуют основания для того, чтобы изменить набор или степень значимости финансово-экономических критериев утвержденных настоящей Методикой, указанные действия могут быть выполнены Экспертом с обоснованием внесенных изменений в экспертном заключении.</w:t>
      </w:r>
    </w:p>
    <w:p w:rsidR="000E4B99" w:rsidRDefault="000E4B99" w:rsidP="00C242C7">
      <w:pPr>
        <w:jc w:val="both"/>
      </w:pPr>
    </w:p>
    <w:p w:rsidR="00E41B54" w:rsidRDefault="00E41B54" w:rsidP="00C242C7">
      <w:pPr>
        <w:jc w:val="both"/>
      </w:pPr>
    </w:p>
    <w:p w:rsidR="00E41B54" w:rsidRPr="003D53D2" w:rsidRDefault="00E41B54" w:rsidP="00C242C7">
      <w:pPr>
        <w:jc w:val="both"/>
      </w:pPr>
    </w:p>
    <w:p w:rsidR="00BB2D98" w:rsidRPr="00D177A1" w:rsidRDefault="00BB2D98" w:rsidP="00416968">
      <w:pPr>
        <w:pStyle w:val="1"/>
      </w:pPr>
      <w:bookmarkStart w:id="34" w:name="_Toc314226181"/>
      <w:bookmarkStart w:id="35" w:name="_Toc322961179"/>
      <w:bookmarkStart w:id="36" w:name="_Toc326066014"/>
      <w:bookmarkStart w:id="37" w:name="_Toc326066284"/>
      <w:bookmarkStart w:id="38" w:name="_Toc326067315"/>
      <w:bookmarkStart w:id="39" w:name="_Toc516132523"/>
      <w:bookmarkStart w:id="40" w:name="_Toc518302235"/>
      <w:r w:rsidRPr="00D177A1">
        <w:t>Информация, используемая для оценки</w:t>
      </w:r>
      <w:bookmarkEnd w:id="34"/>
      <w:bookmarkEnd w:id="35"/>
      <w:bookmarkEnd w:id="36"/>
      <w:bookmarkEnd w:id="37"/>
      <w:bookmarkEnd w:id="38"/>
      <w:bookmarkEnd w:id="39"/>
      <w:bookmarkEnd w:id="40"/>
    </w:p>
    <w:p w:rsidR="00072E2C" w:rsidRPr="003D53D2" w:rsidRDefault="00072E2C" w:rsidP="00C242C7">
      <w:pPr>
        <w:numPr>
          <w:ilvl w:val="0"/>
          <w:numId w:val="7"/>
        </w:numPr>
        <w:spacing w:before="120" w:after="120"/>
        <w:ind w:left="0" w:firstLine="0"/>
        <w:jc w:val="both"/>
      </w:pPr>
      <w:bookmarkStart w:id="41" w:name="_Toc145758362"/>
      <w:bookmarkStart w:id="42" w:name="_Toc145758488"/>
      <w:bookmarkStart w:id="43" w:name="_Toc145759012"/>
      <w:bookmarkStart w:id="44" w:name="_Toc145759275"/>
      <w:bookmarkStart w:id="45" w:name="_Toc145760309"/>
      <w:bookmarkStart w:id="46" w:name="_Toc162934435"/>
      <w:r w:rsidRPr="003D53D2">
        <w:t>Формы бухгалтерской отчетности (баланс и отчет о прибылях и убытках) за два последних завершенных финансовых года с отметкой налогового органа</w:t>
      </w:r>
      <w:r>
        <w:t xml:space="preserve">, </w:t>
      </w:r>
      <w:r w:rsidRPr="00567FDB">
        <w:t>либо с приложением почтовой квитанции о сдаче бухгалтерской отчетности, либо квитанции о приеме бухгалтерской отчетности в электронном виде, выданной ИФНС (далее – с подтверждением предоставления в ИФНС);</w:t>
      </w:r>
      <w:r w:rsidRPr="003D53D2">
        <w:t xml:space="preserve"> дополнительно бухгалтерская отчетность на последнюю отчетную дату текущего года в случае предоставления участником может быть использована для оценки без </w:t>
      </w:r>
      <w:r w:rsidRPr="00567FDB">
        <w:t>подтверждения предоставления в ИФНС</w:t>
      </w:r>
      <w:r w:rsidRPr="003D53D2">
        <w:t>. Налоговая декларация для индивидуальных предпринимателей за соответствующие периоды</w:t>
      </w:r>
    </w:p>
    <w:p w:rsidR="00BB2D98" w:rsidRPr="003D53D2" w:rsidRDefault="00BB2D98" w:rsidP="00C242C7">
      <w:pPr>
        <w:numPr>
          <w:ilvl w:val="0"/>
          <w:numId w:val="7"/>
        </w:numPr>
        <w:spacing w:before="120" w:after="120"/>
        <w:ind w:left="0" w:firstLine="0"/>
        <w:jc w:val="both"/>
      </w:pPr>
      <w:r w:rsidRPr="003D53D2">
        <w:t xml:space="preserve">копия выписки из ЕГРЮЛ/ЕГРИП </w:t>
      </w:r>
    </w:p>
    <w:p w:rsidR="00BB2D98" w:rsidRPr="003D53D2" w:rsidRDefault="00BB2D98" w:rsidP="00C242C7">
      <w:pPr>
        <w:numPr>
          <w:ilvl w:val="0"/>
          <w:numId w:val="7"/>
        </w:numPr>
        <w:spacing w:before="120" w:after="120"/>
        <w:ind w:left="0" w:firstLine="0"/>
        <w:jc w:val="both"/>
      </w:pPr>
      <w:r w:rsidRPr="003D53D2">
        <w:t>копия устава</w:t>
      </w:r>
    </w:p>
    <w:p w:rsidR="00BB2D98" w:rsidRPr="003D53D2" w:rsidRDefault="00BB2D98" w:rsidP="00C242C7">
      <w:pPr>
        <w:numPr>
          <w:ilvl w:val="0"/>
          <w:numId w:val="7"/>
        </w:numPr>
        <w:spacing w:before="120" w:after="120"/>
        <w:ind w:left="0" w:firstLine="0"/>
        <w:jc w:val="both"/>
      </w:pPr>
      <w:r w:rsidRPr="003D53D2">
        <w:t>Анкета участника *</w:t>
      </w:r>
    </w:p>
    <w:p w:rsidR="00BB2D98" w:rsidRPr="003D53D2" w:rsidRDefault="00BB2D98" w:rsidP="00C242C7">
      <w:pPr>
        <w:numPr>
          <w:ilvl w:val="0"/>
          <w:numId w:val="7"/>
        </w:numPr>
        <w:spacing w:before="120" w:after="120"/>
        <w:ind w:left="0" w:firstLine="0"/>
        <w:jc w:val="both"/>
      </w:pPr>
      <w:r w:rsidRPr="003D53D2">
        <w:t>Справка о перечне и объемах выполнения аналогичных договоров*</w:t>
      </w:r>
    </w:p>
    <w:p w:rsidR="00BB2D98" w:rsidRPr="003D53D2" w:rsidRDefault="00BB2D98" w:rsidP="00C242C7">
      <w:pPr>
        <w:numPr>
          <w:ilvl w:val="0"/>
          <w:numId w:val="7"/>
        </w:numPr>
        <w:spacing w:before="120" w:after="120"/>
        <w:ind w:left="0" w:firstLine="0"/>
        <w:jc w:val="both"/>
      </w:pPr>
      <w:r w:rsidRPr="003D53D2">
        <w:t>Справка о наличии кадровых ресурсов*</w:t>
      </w:r>
    </w:p>
    <w:p w:rsidR="00BB2D98" w:rsidRPr="003D53D2" w:rsidRDefault="00BB2D98" w:rsidP="00C242C7">
      <w:pPr>
        <w:numPr>
          <w:ilvl w:val="0"/>
          <w:numId w:val="7"/>
        </w:numPr>
        <w:spacing w:before="120" w:after="120"/>
        <w:ind w:left="0" w:firstLine="0"/>
        <w:jc w:val="both"/>
      </w:pPr>
      <w:r w:rsidRPr="003D53D2">
        <w:t>Справка о наличии материально-технических ресурсов*</w:t>
      </w:r>
    </w:p>
    <w:p w:rsidR="00BB2D98" w:rsidRPr="003D53D2" w:rsidRDefault="00072E2C" w:rsidP="00C242C7">
      <w:pPr>
        <w:numPr>
          <w:ilvl w:val="0"/>
          <w:numId w:val="7"/>
        </w:numPr>
        <w:spacing w:before="120" w:after="120"/>
        <w:ind w:left="0" w:firstLine="0"/>
        <w:jc w:val="both"/>
      </w:pPr>
      <w:r w:rsidRPr="003D53D2">
        <w:t>Копия подписанной и заверенной печатью налогового органа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 о проведении закупки</w:t>
      </w:r>
      <w:r>
        <w:t xml:space="preserve">; </w:t>
      </w:r>
      <w:r w:rsidRPr="00567FDB">
        <w:t xml:space="preserve">в случае, если указанные справки предоставляются в форме электронного документа в формате </w:t>
      </w:r>
      <w:r w:rsidRPr="00567FDB">
        <w:rPr>
          <w:lang w:val="en-US"/>
        </w:rPr>
        <w:t>pdf</w:t>
      </w:r>
      <w:r w:rsidRPr="00567FDB">
        <w:t>, такие документы должны содержать усиленную квалифицированную электронную подпись налогового органа и ее визуализацию</w:t>
      </w:r>
    </w:p>
    <w:p w:rsidR="00BB2D98" w:rsidRPr="003D53D2" w:rsidRDefault="00BB2D98" w:rsidP="00C242C7">
      <w:pPr>
        <w:numPr>
          <w:ilvl w:val="0"/>
          <w:numId w:val="7"/>
        </w:numPr>
        <w:spacing w:before="120" w:after="120"/>
        <w:ind w:left="0" w:firstLine="0"/>
        <w:jc w:val="both"/>
      </w:pPr>
      <w:r w:rsidRPr="003D53D2">
        <w:t>Сводная таблица стоимости*</w:t>
      </w:r>
    </w:p>
    <w:p w:rsidR="00BB2D98" w:rsidRPr="003D53D2" w:rsidRDefault="00BB2D98" w:rsidP="00C242C7">
      <w:pPr>
        <w:numPr>
          <w:ilvl w:val="0"/>
          <w:numId w:val="7"/>
        </w:numPr>
        <w:spacing w:before="120" w:after="120"/>
        <w:ind w:left="0" w:firstLine="0"/>
        <w:jc w:val="both"/>
      </w:pPr>
      <w:r w:rsidRPr="003D53D2">
        <w:t>График и условия оплаты*</w:t>
      </w:r>
    </w:p>
    <w:p w:rsidR="00BB2D98" w:rsidRPr="003D53D2" w:rsidRDefault="00BB2D98" w:rsidP="00C242C7">
      <w:pPr>
        <w:numPr>
          <w:ilvl w:val="0"/>
          <w:numId w:val="7"/>
        </w:numPr>
        <w:spacing w:before="120" w:after="120"/>
        <w:ind w:left="0" w:firstLine="0"/>
        <w:jc w:val="both"/>
      </w:pPr>
      <w:r w:rsidRPr="003D53D2">
        <w:t>Другие документы, подтверждающие наличие у участника закупочной процедуры релевантного опыта (отзывы, рекомендательные письма)</w:t>
      </w:r>
    </w:p>
    <w:p w:rsidR="00BB2D98" w:rsidRPr="003D53D2" w:rsidRDefault="00BB2D98" w:rsidP="00C242C7">
      <w:pPr>
        <w:numPr>
          <w:ilvl w:val="0"/>
          <w:numId w:val="7"/>
        </w:numPr>
        <w:spacing w:before="120" w:after="120"/>
        <w:ind w:left="0" w:firstLine="0"/>
        <w:jc w:val="both"/>
      </w:pPr>
      <w:r w:rsidRPr="003D53D2">
        <w:lastRenderedPageBreak/>
        <w:t>Информация из открытых источников</w:t>
      </w:r>
    </w:p>
    <w:p w:rsidR="00BB2D98" w:rsidRPr="003D53D2" w:rsidRDefault="00BB2D98" w:rsidP="00C242C7">
      <w:pPr>
        <w:numPr>
          <w:ilvl w:val="0"/>
          <w:numId w:val="7"/>
        </w:numPr>
        <w:spacing w:before="120" w:after="120"/>
        <w:ind w:left="0" w:firstLine="0"/>
        <w:jc w:val="both"/>
      </w:pPr>
      <w:r w:rsidRPr="003D53D2">
        <w:t>Информация закрытых источников – данные информационно-аналитических систем «СПАРК», «БизнесИнфоРесурс»**</w:t>
      </w:r>
    </w:p>
    <w:p w:rsidR="00BB2D98" w:rsidRPr="003D53D2" w:rsidRDefault="00BB2D98" w:rsidP="00C242C7">
      <w:pPr>
        <w:numPr>
          <w:ilvl w:val="0"/>
          <w:numId w:val="7"/>
        </w:numPr>
        <w:spacing w:before="120" w:after="120"/>
        <w:ind w:left="0" w:firstLine="0"/>
        <w:jc w:val="both"/>
      </w:pPr>
      <w:r w:rsidRPr="003D53D2">
        <w:t>Расшифровка дебиторской и кредиторской задолженности***</w:t>
      </w:r>
    </w:p>
    <w:p w:rsidR="00BB2D98" w:rsidRPr="003D53D2" w:rsidRDefault="00BB2D98" w:rsidP="00C242C7">
      <w:pPr>
        <w:numPr>
          <w:ilvl w:val="0"/>
          <w:numId w:val="7"/>
        </w:numPr>
        <w:spacing w:before="120" w:after="120"/>
        <w:ind w:left="0" w:firstLine="0"/>
        <w:jc w:val="both"/>
      </w:pPr>
      <w:r w:rsidRPr="003D53D2">
        <w:t>Расшифровка других статей баланса***</w:t>
      </w:r>
    </w:p>
    <w:p w:rsidR="00BB2D98" w:rsidRPr="003D53D2" w:rsidRDefault="00BB2D98" w:rsidP="00C242C7">
      <w:pPr>
        <w:spacing w:before="120" w:after="120"/>
        <w:jc w:val="both"/>
        <w:rPr>
          <w:i/>
          <w:sz w:val="20"/>
          <w:szCs w:val="20"/>
        </w:rPr>
      </w:pPr>
      <w:r w:rsidRPr="003D53D2">
        <w:rPr>
          <w:i/>
          <w:sz w:val="20"/>
          <w:szCs w:val="20"/>
        </w:rPr>
        <w:t>*документы, составленные по форме, установленной закупочной документацией</w:t>
      </w:r>
    </w:p>
    <w:p w:rsidR="00BB2D98" w:rsidRPr="003D53D2" w:rsidRDefault="00BB2D98" w:rsidP="00C242C7">
      <w:pPr>
        <w:spacing w:before="120" w:after="120"/>
        <w:jc w:val="both"/>
        <w:rPr>
          <w:i/>
          <w:sz w:val="20"/>
          <w:szCs w:val="20"/>
        </w:rPr>
      </w:pPr>
      <w:r w:rsidRPr="003D53D2">
        <w:rPr>
          <w:i/>
          <w:sz w:val="20"/>
          <w:szCs w:val="20"/>
        </w:rPr>
        <w:t>**при наличии доступа</w:t>
      </w:r>
    </w:p>
    <w:p w:rsidR="00BB2D98" w:rsidRPr="00534B00" w:rsidRDefault="00BB2D98" w:rsidP="00C242C7">
      <w:pPr>
        <w:spacing w:before="120" w:after="120"/>
        <w:jc w:val="both"/>
        <w:rPr>
          <w:i/>
          <w:sz w:val="20"/>
          <w:szCs w:val="20"/>
        </w:rPr>
      </w:pPr>
      <w:r w:rsidRPr="003D53D2">
        <w:rPr>
          <w:i/>
          <w:sz w:val="20"/>
          <w:szCs w:val="20"/>
        </w:rPr>
        <w:t>***разъяснения, предоставляются по запросу, в случа</w:t>
      </w:r>
      <w:bookmarkEnd w:id="41"/>
      <w:bookmarkEnd w:id="42"/>
      <w:bookmarkEnd w:id="43"/>
      <w:bookmarkEnd w:id="44"/>
      <w:bookmarkEnd w:id="45"/>
      <w:bookmarkEnd w:id="46"/>
      <w:r w:rsidRPr="003D53D2">
        <w:rPr>
          <w:i/>
          <w:sz w:val="20"/>
          <w:szCs w:val="20"/>
        </w:rPr>
        <w:t>е необходимости</w:t>
      </w:r>
    </w:p>
    <w:p w:rsidR="00E41B54" w:rsidRPr="00534B00" w:rsidRDefault="00E41B54" w:rsidP="00C242C7">
      <w:pPr>
        <w:spacing w:before="120" w:after="120"/>
        <w:jc w:val="both"/>
        <w:rPr>
          <w:i/>
          <w:sz w:val="20"/>
          <w:szCs w:val="20"/>
        </w:rPr>
      </w:pPr>
    </w:p>
    <w:p w:rsidR="00C76C46" w:rsidRPr="00D177A1" w:rsidRDefault="00BB2D98" w:rsidP="00416968">
      <w:pPr>
        <w:pStyle w:val="1"/>
      </w:pPr>
      <w:bookmarkStart w:id="47" w:name="_Toc322961180"/>
      <w:bookmarkStart w:id="48" w:name="_Toc326066015"/>
      <w:bookmarkStart w:id="49" w:name="_Toc326066285"/>
      <w:bookmarkStart w:id="50" w:name="_Toc326067316"/>
      <w:bookmarkStart w:id="51" w:name="_Toc516132524"/>
      <w:bookmarkStart w:id="52" w:name="_Toc518302236"/>
      <w:r w:rsidRPr="00D177A1">
        <w:t>Группа финансовых показателей</w:t>
      </w:r>
      <w:bookmarkEnd w:id="47"/>
      <w:bookmarkEnd w:id="48"/>
      <w:bookmarkEnd w:id="49"/>
      <w:bookmarkEnd w:id="50"/>
      <w:bookmarkEnd w:id="51"/>
      <w:bookmarkEnd w:id="52"/>
    </w:p>
    <w:p w:rsidR="00D74BF3" w:rsidRPr="00D91558" w:rsidRDefault="00D74BF3" w:rsidP="00C242C7">
      <w:pPr>
        <w:pStyle w:val="aa"/>
        <w:numPr>
          <w:ilvl w:val="1"/>
          <w:numId w:val="1"/>
        </w:numPr>
        <w:ind w:left="0" w:firstLine="0"/>
        <w:jc w:val="both"/>
        <w:rPr>
          <w:b/>
        </w:rPr>
      </w:pPr>
      <w:r w:rsidRPr="00D91558">
        <w:rPr>
          <w:b/>
        </w:rPr>
        <w:t>Коэффициенты, характеризующие способность компании расплачиваться по финансовым обязательствам, устойчивость и рентабельность</w:t>
      </w:r>
    </w:p>
    <w:p w:rsidR="00D74BF3" w:rsidRPr="003D53D2" w:rsidRDefault="00D74BF3" w:rsidP="00C242C7">
      <w:pPr>
        <w:pStyle w:val="aa"/>
        <w:numPr>
          <w:ilvl w:val="2"/>
          <w:numId w:val="14"/>
        </w:numPr>
        <w:spacing w:before="120" w:after="120"/>
        <w:ind w:left="0" w:firstLine="0"/>
        <w:jc w:val="both"/>
        <w:rPr>
          <w:b/>
          <w:i/>
        </w:rPr>
      </w:pPr>
      <w:r w:rsidRPr="003D53D2">
        <w:rPr>
          <w:b/>
          <w:i/>
        </w:rPr>
        <w:t>Доля привлеченных средств в пассивах</w:t>
      </w:r>
    </w:p>
    <w:p w:rsidR="00D74BF3" w:rsidRPr="003D53D2" w:rsidRDefault="00D74BF3" w:rsidP="00C242C7">
      <w:pPr>
        <w:spacing w:before="120" w:after="120"/>
        <w:jc w:val="both"/>
      </w:pPr>
      <w:r w:rsidRPr="003D53D2">
        <w:t>Коэффициент характеризует зависимость предприятия от внешних источников финансирования, его финансовую устойчивость. При прочих равных условиях: чем больше у предприятия доля собственных средств в пассивах, тем больше у него возможностей для дополнительного привлечения заемных средств:</w:t>
      </w:r>
    </w:p>
    <w:p w:rsidR="00D74BF3" w:rsidRDefault="00D74BF3" w:rsidP="00C242C7">
      <w:pPr>
        <w:spacing w:before="120" w:after="120"/>
        <w:jc w:val="both"/>
      </w:pPr>
      <w:r w:rsidRPr="003D53D2">
        <w:rPr>
          <w:position w:val="-30"/>
        </w:rPr>
        <w:object w:dxaOrig="7040" w:dyaOrig="700" w14:anchorId="22C38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9pt" o:ole="">
            <v:imagedata r:id="rId8" o:title=""/>
          </v:shape>
          <o:OLEObject Type="Embed" ProgID="Equation.3" ShapeID="_x0000_i1025" DrawAspect="Content" ObjectID="_1595682133" r:id="rId9"/>
        </w:object>
      </w:r>
    </w:p>
    <w:p w:rsidR="00641ED9" w:rsidRDefault="00641ED9" w:rsidP="00C242C7">
      <w:pPr>
        <w:spacing w:before="120" w:after="120"/>
        <w:jc w:val="both"/>
      </w:pPr>
    </w:p>
    <w:p w:rsidR="00641ED9" w:rsidRPr="003D53D2" w:rsidRDefault="00641ED9" w:rsidP="00C242C7">
      <w:pPr>
        <w:spacing w:before="120" w:after="120"/>
        <w:jc w:val="both"/>
      </w:pPr>
    </w:p>
    <w:p w:rsidR="00D74BF3" w:rsidRPr="003D53D2" w:rsidRDefault="00D74BF3" w:rsidP="00C242C7">
      <w:pPr>
        <w:pStyle w:val="aa"/>
        <w:numPr>
          <w:ilvl w:val="2"/>
          <w:numId w:val="14"/>
        </w:numPr>
        <w:spacing w:before="120" w:after="120"/>
        <w:ind w:left="0" w:firstLine="0"/>
        <w:jc w:val="both"/>
        <w:rPr>
          <w:b/>
          <w:i/>
        </w:rPr>
      </w:pPr>
      <w:r w:rsidRPr="003D53D2">
        <w:rPr>
          <w:b/>
          <w:i/>
        </w:rPr>
        <w:t>Рентабельность инвестированного капитала</w:t>
      </w:r>
    </w:p>
    <w:p w:rsidR="00D74BF3" w:rsidRPr="003D53D2" w:rsidRDefault="00D74BF3" w:rsidP="00C242C7">
      <w:pPr>
        <w:spacing w:before="120" w:after="120"/>
        <w:jc w:val="both"/>
      </w:pPr>
      <w:r w:rsidRPr="003D53D2">
        <w:t>Рентабельность вложенного (инвестированного) капитала по прибыли до налогообложения, уплаты процентов, показывает величину прибыли, полученную на 1 рубль вложенного капитала. Величина инвестированного капитала рассчитывается для целей настоящей методики как сумма собственного капитала и долгосрочных финансовых обязательств:</w:t>
      </w:r>
    </w:p>
    <w:p w:rsidR="00D74BF3" w:rsidRPr="003D53D2" w:rsidRDefault="00D74BF3" w:rsidP="00C242C7">
      <w:pPr>
        <w:spacing w:before="120" w:after="120"/>
        <w:jc w:val="both"/>
      </w:pPr>
      <w:r w:rsidRPr="003D53D2">
        <w:rPr>
          <w:position w:val="-30"/>
        </w:rPr>
        <w:object w:dxaOrig="7100" w:dyaOrig="680" w14:anchorId="41C59E97">
          <v:shape id="_x0000_i1026" type="#_x0000_t75" style="width:386.25pt;height:36.75pt" o:ole="">
            <v:imagedata r:id="rId10" o:title=""/>
          </v:shape>
          <o:OLEObject Type="Embed" ProgID="Equation.3" ShapeID="_x0000_i1026" DrawAspect="Content" ObjectID="_1595682134" r:id="rId11"/>
        </w:object>
      </w:r>
      <w:r w:rsidRPr="003D53D2">
        <w:t>,</w:t>
      </w:r>
    </w:p>
    <w:p w:rsidR="00D74BF3" w:rsidRPr="003D53D2" w:rsidRDefault="00D74BF3" w:rsidP="00C242C7">
      <w:pPr>
        <w:spacing w:before="120" w:after="120"/>
        <w:jc w:val="both"/>
      </w:pPr>
      <w:r w:rsidRPr="003D53D2">
        <w:t>где Т – ставка налога на прибыль.</w:t>
      </w:r>
    </w:p>
    <w:p w:rsidR="00D74BF3" w:rsidRPr="003D53D2" w:rsidRDefault="00D74BF3" w:rsidP="00C242C7">
      <w:pPr>
        <w:numPr>
          <w:ilvl w:val="2"/>
          <w:numId w:val="14"/>
        </w:numPr>
        <w:spacing w:before="120" w:after="120"/>
        <w:ind w:left="0" w:firstLine="0"/>
        <w:jc w:val="both"/>
        <w:rPr>
          <w:b/>
          <w:i/>
        </w:rPr>
      </w:pPr>
      <w:r w:rsidRPr="003D53D2">
        <w:rPr>
          <w:b/>
          <w:i/>
        </w:rPr>
        <w:t>Долг / EBITDA</w:t>
      </w:r>
    </w:p>
    <w:p w:rsidR="00D74BF3" w:rsidRPr="003D53D2" w:rsidRDefault="00D74BF3" w:rsidP="00C242C7">
      <w:pPr>
        <w:spacing w:before="120" w:after="120"/>
        <w:jc w:val="both"/>
      </w:pPr>
      <w:r w:rsidRPr="003D53D2">
        <w:t xml:space="preserve">Показатель оценивает срок (в годах), в течение которого совокупная финансовая задолженность (за вычетом остатков денежных средств) может быть погашена, если компания весь свой денежный поток от операционной деятельности (в оценке через EBITDA) будет направлять на эти цели, т.е. оценивает платежеспособность организации в долгосрочном периоде перед банками и другими финансовыми институтами. Для целей осуществления финансово-экономической экспертизы </w:t>
      </w:r>
      <w:r w:rsidRPr="003D53D2">
        <w:rPr>
          <w:lang w:val="en-US"/>
        </w:rPr>
        <w:t>EBITDA</w:t>
      </w:r>
      <w:r w:rsidRPr="003D53D2">
        <w:t xml:space="preserve"> определяется как Прибыль до налогообложения + Проценты к уплате + Амортизация (амортизация может рассчитываться оценочно, как фиксированная доля от величины основных средств).</w:t>
      </w:r>
    </w:p>
    <w:p w:rsidR="00D74BF3" w:rsidRPr="003D53D2" w:rsidRDefault="00D74BF3" w:rsidP="00C242C7">
      <w:pPr>
        <w:spacing w:before="120" w:after="120"/>
        <w:jc w:val="both"/>
      </w:pPr>
      <w:r w:rsidRPr="003D53D2">
        <w:rPr>
          <w:position w:val="-24"/>
        </w:rPr>
        <w:object w:dxaOrig="8520" w:dyaOrig="620" w14:anchorId="5561D41B">
          <v:shape id="_x0000_i1027" type="#_x0000_t75" style="width:397.5pt;height:28.5pt" o:ole="">
            <v:imagedata r:id="rId12" o:title=""/>
          </v:shape>
          <o:OLEObject Type="Embed" ProgID="Equation.3" ShapeID="_x0000_i1027" DrawAspect="Content" ObjectID="_1595682135" r:id="rId13"/>
        </w:object>
      </w:r>
    </w:p>
    <w:p w:rsidR="008E53D5" w:rsidRDefault="008E53D5" w:rsidP="00C242C7">
      <w:pPr>
        <w:jc w:val="right"/>
        <w:rPr>
          <w:lang w:val="en-US"/>
        </w:rPr>
      </w:pPr>
    </w:p>
    <w:p w:rsidR="00D74BF3" w:rsidRPr="003D53D2" w:rsidRDefault="00D74BF3" w:rsidP="00C242C7">
      <w:pPr>
        <w:jc w:val="right"/>
      </w:pPr>
      <w:r w:rsidRPr="003D53D2">
        <w:t>Таблица перевода значений финансовых показателей в баллы по шкале от 0 до 1</w:t>
      </w:r>
    </w:p>
    <w:p w:rsidR="00D74BF3" w:rsidRPr="003D53D2" w:rsidRDefault="00D74BF3" w:rsidP="00C242C7">
      <w:pPr>
        <w:jc w:val="both"/>
      </w:pPr>
    </w:p>
    <w:tbl>
      <w:tblPr>
        <w:tblW w:w="9923" w:type="dxa"/>
        <w:tblInd w:w="-5" w:type="dxa"/>
        <w:tblLayout w:type="fixed"/>
        <w:tblLook w:val="04A0" w:firstRow="1" w:lastRow="0" w:firstColumn="1" w:lastColumn="0" w:noHBand="0" w:noVBand="1"/>
      </w:tblPr>
      <w:tblGrid>
        <w:gridCol w:w="2410"/>
        <w:gridCol w:w="851"/>
        <w:gridCol w:w="850"/>
        <w:gridCol w:w="851"/>
        <w:gridCol w:w="567"/>
        <w:gridCol w:w="567"/>
        <w:gridCol w:w="567"/>
        <w:gridCol w:w="567"/>
        <w:gridCol w:w="567"/>
        <w:gridCol w:w="567"/>
        <w:gridCol w:w="567"/>
        <w:gridCol w:w="992"/>
      </w:tblGrid>
      <w:tr w:rsidR="00D74BF3" w:rsidRPr="003D53D2" w:rsidTr="00C242C7">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4BF3" w:rsidRPr="003D53D2" w:rsidRDefault="00D74BF3" w:rsidP="00C242C7">
            <w:pPr>
              <w:rPr>
                <w:color w:val="000000"/>
              </w:rPr>
            </w:pPr>
            <w:r w:rsidRPr="003D53D2">
              <w:rPr>
                <w:color w:val="000000"/>
              </w:rPr>
              <w:t>Оценка</w:t>
            </w:r>
          </w:p>
          <w:p w:rsidR="00D74BF3" w:rsidRPr="003D53D2" w:rsidRDefault="00D74BF3" w:rsidP="00C242C7">
            <w:pPr>
              <w:rPr>
                <w:color w:val="000000"/>
              </w:rPr>
            </w:pPr>
            <w:r w:rsidRPr="003D53D2">
              <w:rPr>
                <w:color w:val="000000"/>
              </w:rPr>
              <w:t>(мин 0 - макс 1)</w:t>
            </w:r>
          </w:p>
        </w:tc>
        <w:tc>
          <w:tcPr>
            <w:tcW w:w="851"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0,0</w:t>
            </w:r>
          </w:p>
        </w:tc>
        <w:tc>
          <w:tcPr>
            <w:tcW w:w="85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0,1</w:t>
            </w:r>
          </w:p>
        </w:tc>
        <w:tc>
          <w:tcPr>
            <w:tcW w:w="851"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0,2</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0,3</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0,4</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0,5</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0,6</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0,7</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0,8</w:t>
            </w:r>
          </w:p>
        </w:tc>
        <w:tc>
          <w:tcPr>
            <w:tcW w:w="567"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0,9</w:t>
            </w:r>
          </w:p>
        </w:tc>
        <w:tc>
          <w:tcPr>
            <w:tcW w:w="992"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1,0</w:t>
            </w:r>
          </w:p>
        </w:tc>
      </w:tr>
      <w:tr w:rsidR="00D74BF3" w:rsidRPr="003D53D2" w:rsidTr="00C242C7">
        <w:trPr>
          <w:trHeight w:val="600"/>
        </w:trPr>
        <w:tc>
          <w:tcPr>
            <w:tcW w:w="2410" w:type="dxa"/>
            <w:tcBorders>
              <w:top w:val="nil"/>
              <w:left w:val="single" w:sz="4" w:space="0" w:color="auto"/>
              <w:bottom w:val="single" w:sz="4" w:space="0" w:color="auto"/>
              <w:right w:val="single" w:sz="4" w:space="0" w:color="auto"/>
            </w:tcBorders>
            <w:shd w:val="clear" w:color="auto" w:fill="auto"/>
            <w:vAlign w:val="center"/>
          </w:tcPr>
          <w:p w:rsidR="00D74BF3" w:rsidRPr="008D6924" w:rsidRDefault="00D74BF3" w:rsidP="00C242C7">
            <w:pPr>
              <w:rPr>
                <w:color w:val="000000"/>
                <w:sz w:val="22"/>
              </w:rPr>
            </w:pPr>
            <w:r w:rsidRPr="008D6924">
              <w:rPr>
                <w:color w:val="000000"/>
                <w:sz w:val="22"/>
              </w:rPr>
              <w:t>Доля привл-ных средств в пассивах, %</w:t>
            </w:r>
          </w:p>
        </w:tc>
        <w:tc>
          <w:tcPr>
            <w:tcW w:w="851"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100% и более</w:t>
            </w:r>
          </w:p>
        </w:tc>
        <w:tc>
          <w:tcPr>
            <w:tcW w:w="850"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99,5%</w:t>
            </w:r>
          </w:p>
        </w:tc>
        <w:tc>
          <w:tcPr>
            <w:tcW w:w="851"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98,5%</w:t>
            </w:r>
          </w:p>
        </w:tc>
        <w:tc>
          <w:tcPr>
            <w:tcW w:w="567"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98%</w:t>
            </w:r>
          </w:p>
        </w:tc>
        <w:tc>
          <w:tcPr>
            <w:tcW w:w="567" w:type="dxa"/>
            <w:tcBorders>
              <w:top w:val="nil"/>
              <w:left w:val="nil"/>
              <w:bottom w:val="single" w:sz="4" w:space="0" w:color="auto"/>
              <w:right w:val="single" w:sz="4" w:space="0" w:color="auto"/>
            </w:tcBorders>
            <w:shd w:val="clear" w:color="000000" w:fill="F8FFB9"/>
            <w:noWrap/>
            <w:vAlign w:val="center"/>
          </w:tcPr>
          <w:p w:rsidR="00D74BF3" w:rsidRPr="008D6924" w:rsidRDefault="00D74BF3" w:rsidP="00C242C7">
            <w:pPr>
              <w:jc w:val="center"/>
              <w:rPr>
                <w:color w:val="000000"/>
                <w:sz w:val="22"/>
              </w:rPr>
            </w:pPr>
            <w:r w:rsidRPr="008D6924">
              <w:rPr>
                <w:color w:val="000000"/>
                <w:sz w:val="22"/>
              </w:rPr>
              <w:t>96%</w:t>
            </w:r>
          </w:p>
        </w:tc>
        <w:tc>
          <w:tcPr>
            <w:tcW w:w="567" w:type="dxa"/>
            <w:tcBorders>
              <w:top w:val="nil"/>
              <w:left w:val="nil"/>
              <w:bottom w:val="single" w:sz="4" w:space="0" w:color="auto"/>
              <w:right w:val="single" w:sz="4" w:space="0" w:color="auto"/>
            </w:tcBorders>
            <w:shd w:val="clear" w:color="000000" w:fill="F8FFB9"/>
            <w:noWrap/>
            <w:vAlign w:val="center"/>
          </w:tcPr>
          <w:p w:rsidR="00D74BF3" w:rsidRPr="008D6924" w:rsidRDefault="00D74BF3" w:rsidP="00C242C7">
            <w:pPr>
              <w:jc w:val="center"/>
              <w:rPr>
                <w:color w:val="000000"/>
                <w:sz w:val="22"/>
              </w:rPr>
            </w:pPr>
            <w:r w:rsidRPr="008D6924">
              <w:rPr>
                <w:color w:val="000000"/>
                <w:sz w:val="22"/>
              </w:rPr>
              <w:t>94%</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92%</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90%</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83%</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76%</w:t>
            </w:r>
          </w:p>
        </w:tc>
        <w:tc>
          <w:tcPr>
            <w:tcW w:w="992"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до 70%</w:t>
            </w:r>
          </w:p>
        </w:tc>
      </w:tr>
      <w:tr w:rsidR="00D74BF3" w:rsidRPr="003D53D2" w:rsidTr="00C242C7">
        <w:trPr>
          <w:trHeight w:val="915"/>
        </w:trPr>
        <w:tc>
          <w:tcPr>
            <w:tcW w:w="2410" w:type="dxa"/>
            <w:tcBorders>
              <w:top w:val="nil"/>
              <w:left w:val="single" w:sz="4" w:space="0" w:color="auto"/>
              <w:bottom w:val="single" w:sz="4" w:space="0" w:color="auto"/>
              <w:right w:val="single" w:sz="4" w:space="0" w:color="auto"/>
            </w:tcBorders>
            <w:shd w:val="clear" w:color="auto" w:fill="auto"/>
            <w:vAlign w:val="center"/>
          </w:tcPr>
          <w:p w:rsidR="00D74BF3" w:rsidRPr="008D6924" w:rsidRDefault="00D74BF3" w:rsidP="00C242C7">
            <w:pPr>
              <w:rPr>
                <w:color w:val="000000"/>
                <w:sz w:val="22"/>
              </w:rPr>
            </w:pPr>
            <w:r w:rsidRPr="008D6924">
              <w:rPr>
                <w:color w:val="000000"/>
                <w:sz w:val="22"/>
              </w:rPr>
              <w:t>Рентабельность инвестированного капитала, %</w:t>
            </w:r>
          </w:p>
        </w:tc>
        <w:tc>
          <w:tcPr>
            <w:tcW w:w="851" w:type="dxa"/>
            <w:tcBorders>
              <w:top w:val="nil"/>
              <w:left w:val="nil"/>
              <w:bottom w:val="single" w:sz="4" w:space="0" w:color="auto"/>
              <w:right w:val="single" w:sz="4" w:space="0" w:color="auto"/>
            </w:tcBorders>
            <w:shd w:val="clear" w:color="000000" w:fill="FFE5E5"/>
            <w:vAlign w:val="center"/>
          </w:tcPr>
          <w:p w:rsidR="00D74BF3" w:rsidRPr="008D6924" w:rsidRDefault="00D74BF3" w:rsidP="00C242C7">
            <w:pPr>
              <w:jc w:val="center"/>
              <w:rPr>
                <w:color w:val="000000"/>
                <w:sz w:val="22"/>
              </w:rPr>
            </w:pPr>
            <w:r w:rsidRPr="008D6924">
              <w:rPr>
                <w:color w:val="000000"/>
                <w:sz w:val="22"/>
              </w:rPr>
              <w:t>убыток более 10%</w:t>
            </w:r>
          </w:p>
        </w:tc>
        <w:tc>
          <w:tcPr>
            <w:tcW w:w="850"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-10%</w:t>
            </w:r>
          </w:p>
        </w:tc>
        <w:tc>
          <w:tcPr>
            <w:tcW w:w="851"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-7%</w:t>
            </w:r>
          </w:p>
        </w:tc>
        <w:tc>
          <w:tcPr>
            <w:tcW w:w="567"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-3%</w:t>
            </w:r>
          </w:p>
        </w:tc>
        <w:tc>
          <w:tcPr>
            <w:tcW w:w="567" w:type="dxa"/>
            <w:tcBorders>
              <w:top w:val="nil"/>
              <w:left w:val="nil"/>
              <w:bottom w:val="single" w:sz="4" w:space="0" w:color="auto"/>
              <w:right w:val="single" w:sz="4" w:space="0" w:color="auto"/>
            </w:tcBorders>
            <w:shd w:val="clear" w:color="000000" w:fill="F8FFB9"/>
            <w:noWrap/>
            <w:vAlign w:val="center"/>
          </w:tcPr>
          <w:p w:rsidR="00D74BF3" w:rsidRPr="008D6924" w:rsidRDefault="00D74BF3" w:rsidP="00C242C7">
            <w:pPr>
              <w:jc w:val="center"/>
              <w:rPr>
                <w:color w:val="000000"/>
                <w:sz w:val="22"/>
              </w:rPr>
            </w:pPr>
            <w:r w:rsidRPr="008D6924">
              <w:rPr>
                <w:color w:val="000000"/>
                <w:sz w:val="22"/>
              </w:rPr>
              <w:t>0%</w:t>
            </w:r>
          </w:p>
        </w:tc>
        <w:tc>
          <w:tcPr>
            <w:tcW w:w="567" w:type="dxa"/>
            <w:tcBorders>
              <w:top w:val="nil"/>
              <w:left w:val="nil"/>
              <w:bottom w:val="single" w:sz="4" w:space="0" w:color="auto"/>
              <w:right w:val="single" w:sz="4" w:space="0" w:color="auto"/>
            </w:tcBorders>
            <w:shd w:val="clear" w:color="000000" w:fill="F8FFB9"/>
            <w:noWrap/>
            <w:vAlign w:val="center"/>
          </w:tcPr>
          <w:p w:rsidR="00D74BF3" w:rsidRPr="008D6924" w:rsidRDefault="00D74BF3" w:rsidP="00C242C7">
            <w:pPr>
              <w:jc w:val="center"/>
              <w:rPr>
                <w:color w:val="000000"/>
                <w:sz w:val="22"/>
              </w:rPr>
            </w:pPr>
            <w:r w:rsidRPr="008D6924">
              <w:rPr>
                <w:color w:val="000000"/>
                <w:sz w:val="22"/>
              </w:rPr>
              <w:t>3%</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7%</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10%</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13%</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17%</w:t>
            </w:r>
          </w:p>
        </w:tc>
        <w:tc>
          <w:tcPr>
            <w:tcW w:w="992" w:type="dxa"/>
            <w:tcBorders>
              <w:top w:val="nil"/>
              <w:left w:val="nil"/>
              <w:bottom w:val="single" w:sz="4" w:space="0" w:color="auto"/>
              <w:right w:val="single" w:sz="4" w:space="0" w:color="auto"/>
            </w:tcBorders>
            <w:shd w:val="clear" w:color="000000" w:fill="C6FED1"/>
            <w:vAlign w:val="center"/>
          </w:tcPr>
          <w:p w:rsidR="00D74BF3" w:rsidRPr="008D6924" w:rsidRDefault="00D74BF3" w:rsidP="00C242C7">
            <w:pPr>
              <w:jc w:val="center"/>
              <w:rPr>
                <w:color w:val="000000"/>
                <w:sz w:val="22"/>
              </w:rPr>
            </w:pPr>
            <w:r w:rsidRPr="008D6924">
              <w:rPr>
                <w:color w:val="000000"/>
                <w:sz w:val="22"/>
              </w:rPr>
              <w:t>более 20%</w:t>
            </w:r>
          </w:p>
        </w:tc>
      </w:tr>
      <w:tr w:rsidR="00D74BF3" w:rsidRPr="003D53D2" w:rsidTr="00C242C7">
        <w:trPr>
          <w:trHeight w:val="600"/>
        </w:trPr>
        <w:tc>
          <w:tcPr>
            <w:tcW w:w="2410" w:type="dxa"/>
            <w:tcBorders>
              <w:top w:val="nil"/>
              <w:left w:val="single" w:sz="4" w:space="0" w:color="auto"/>
              <w:bottom w:val="single" w:sz="4" w:space="0" w:color="auto"/>
              <w:right w:val="single" w:sz="4" w:space="0" w:color="auto"/>
            </w:tcBorders>
            <w:shd w:val="clear" w:color="auto" w:fill="auto"/>
            <w:vAlign w:val="center"/>
          </w:tcPr>
          <w:p w:rsidR="00D74BF3" w:rsidRPr="008D6924" w:rsidRDefault="00D74BF3" w:rsidP="00C242C7">
            <w:pPr>
              <w:rPr>
                <w:color w:val="000000"/>
                <w:sz w:val="22"/>
              </w:rPr>
            </w:pPr>
            <w:r w:rsidRPr="008D6924">
              <w:rPr>
                <w:color w:val="000000"/>
                <w:sz w:val="22"/>
              </w:rPr>
              <w:t>Долг / EBITDA, лет</w:t>
            </w:r>
          </w:p>
        </w:tc>
        <w:tc>
          <w:tcPr>
            <w:tcW w:w="851" w:type="dxa"/>
            <w:tcBorders>
              <w:top w:val="nil"/>
              <w:left w:val="nil"/>
              <w:bottom w:val="single" w:sz="4" w:space="0" w:color="auto"/>
              <w:right w:val="single" w:sz="4" w:space="0" w:color="auto"/>
            </w:tcBorders>
            <w:shd w:val="clear" w:color="000000" w:fill="FFE5E5"/>
            <w:vAlign w:val="center"/>
          </w:tcPr>
          <w:p w:rsidR="00D74BF3" w:rsidRPr="008D6924" w:rsidRDefault="00D74BF3" w:rsidP="00C242C7">
            <w:pPr>
              <w:jc w:val="center"/>
              <w:rPr>
                <w:color w:val="000000"/>
                <w:sz w:val="22"/>
              </w:rPr>
            </w:pPr>
            <w:r w:rsidRPr="008D6924">
              <w:rPr>
                <w:color w:val="000000"/>
                <w:sz w:val="22"/>
              </w:rPr>
              <w:t>более 12 лет</w:t>
            </w:r>
          </w:p>
        </w:tc>
        <w:tc>
          <w:tcPr>
            <w:tcW w:w="850"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11</w:t>
            </w:r>
          </w:p>
        </w:tc>
        <w:tc>
          <w:tcPr>
            <w:tcW w:w="851"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10</w:t>
            </w:r>
          </w:p>
        </w:tc>
        <w:tc>
          <w:tcPr>
            <w:tcW w:w="567" w:type="dxa"/>
            <w:tcBorders>
              <w:top w:val="nil"/>
              <w:left w:val="nil"/>
              <w:bottom w:val="single" w:sz="4" w:space="0" w:color="auto"/>
              <w:right w:val="single" w:sz="4" w:space="0" w:color="auto"/>
            </w:tcBorders>
            <w:shd w:val="clear" w:color="000000" w:fill="FFE5E5"/>
            <w:noWrap/>
            <w:vAlign w:val="center"/>
          </w:tcPr>
          <w:p w:rsidR="00D74BF3" w:rsidRPr="008D6924" w:rsidRDefault="00D74BF3" w:rsidP="00C242C7">
            <w:pPr>
              <w:jc w:val="center"/>
              <w:rPr>
                <w:color w:val="000000"/>
                <w:sz w:val="22"/>
              </w:rPr>
            </w:pPr>
            <w:r w:rsidRPr="008D6924">
              <w:rPr>
                <w:color w:val="000000"/>
                <w:sz w:val="22"/>
              </w:rPr>
              <w:t>9</w:t>
            </w:r>
          </w:p>
        </w:tc>
        <w:tc>
          <w:tcPr>
            <w:tcW w:w="567" w:type="dxa"/>
            <w:tcBorders>
              <w:top w:val="nil"/>
              <w:left w:val="nil"/>
              <w:bottom w:val="single" w:sz="4" w:space="0" w:color="auto"/>
              <w:right w:val="single" w:sz="4" w:space="0" w:color="auto"/>
            </w:tcBorders>
            <w:shd w:val="clear" w:color="000000" w:fill="F8FFB9"/>
            <w:noWrap/>
            <w:vAlign w:val="center"/>
          </w:tcPr>
          <w:p w:rsidR="00D74BF3" w:rsidRPr="008D6924" w:rsidRDefault="00D74BF3" w:rsidP="00C242C7">
            <w:pPr>
              <w:jc w:val="center"/>
              <w:rPr>
                <w:color w:val="000000"/>
                <w:sz w:val="22"/>
              </w:rPr>
            </w:pPr>
            <w:r w:rsidRPr="008D6924">
              <w:rPr>
                <w:color w:val="000000"/>
                <w:sz w:val="22"/>
              </w:rPr>
              <w:t>8</w:t>
            </w:r>
          </w:p>
        </w:tc>
        <w:tc>
          <w:tcPr>
            <w:tcW w:w="567" w:type="dxa"/>
            <w:tcBorders>
              <w:top w:val="nil"/>
              <w:left w:val="nil"/>
              <w:bottom w:val="single" w:sz="4" w:space="0" w:color="auto"/>
              <w:right w:val="single" w:sz="4" w:space="0" w:color="auto"/>
            </w:tcBorders>
            <w:shd w:val="clear" w:color="000000" w:fill="F8FFB9"/>
            <w:noWrap/>
            <w:vAlign w:val="center"/>
          </w:tcPr>
          <w:p w:rsidR="00D74BF3" w:rsidRPr="008D6924" w:rsidRDefault="00D74BF3" w:rsidP="00C242C7">
            <w:pPr>
              <w:jc w:val="center"/>
              <w:rPr>
                <w:color w:val="000000"/>
                <w:sz w:val="22"/>
              </w:rPr>
            </w:pPr>
            <w:r w:rsidRPr="008D6924">
              <w:rPr>
                <w:color w:val="000000"/>
                <w:sz w:val="22"/>
              </w:rPr>
              <w:t>7</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6</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5</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4</w:t>
            </w:r>
          </w:p>
        </w:tc>
        <w:tc>
          <w:tcPr>
            <w:tcW w:w="567" w:type="dxa"/>
            <w:tcBorders>
              <w:top w:val="nil"/>
              <w:left w:val="nil"/>
              <w:bottom w:val="single" w:sz="4" w:space="0" w:color="auto"/>
              <w:right w:val="single" w:sz="4" w:space="0" w:color="auto"/>
            </w:tcBorders>
            <w:shd w:val="clear" w:color="000000" w:fill="C6FED1"/>
            <w:noWrap/>
            <w:vAlign w:val="center"/>
          </w:tcPr>
          <w:p w:rsidR="00D74BF3" w:rsidRPr="008D6924" w:rsidRDefault="00D74BF3" w:rsidP="00C242C7">
            <w:pPr>
              <w:jc w:val="center"/>
              <w:rPr>
                <w:color w:val="000000"/>
                <w:sz w:val="22"/>
              </w:rPr>
            </w:pPr>
            <w:r w:rsidRPr="008D6924">
              <w:rPr>
                <w:color w:val="000000"/>
                <w:sz w:val="22"/>
              </w:rPr>
              <w:t>3</w:t>
            </w:r>
          </w:p>
        </w:tc>
        <w:tc>
          <w:tcPr>
            <w:tcW w:w="992" w:type="dxa"/>
            <w:tcBorders>
              <w:top w:val="nil"/>
              <w:left w:val="nil"/>
              <w:bottom w:val="single" w:sz="4" w:space="0" w:color="auto"/>
              <w:right w:val="single" w:sz="4" w:space="0" w:color="auto"/>
            </w:tcBorders>
            <w:shd w:val="clear" w:color="000000" w:fill="C6FED1"/>
            <w:vAlign w:val="center"/>
          </w:tcPr>
          <w:p w:rsidR="00D74BF3" w:rsidRPr="008D6924" w:rsidRDefault="00D74BF3" w:rsidP="00C242C7">
            <w:pPr>
              <w:jc w:val="center"/>
              <w:rPr>
                <w:color w:val="000000"/>
                <w:sz w:val="22"/>
              </w:rPr>
            </w:pPr>
            <w:r w:rsidRPr="008D6924">
              <w:rPr>
                <w:color w:val="000000"/>
                <w:sz w:val="22"/>
              </w:rPr>
              <w:t>менее 2 лет</w:t>
            </w:r>
          </w:p>
        </w:tc>
      </w:tr>
    </w:tbl>
    <w:p w:rsidR="00256DB8" w:rsidRDefault="00256DB8" w:rsidP="00C242C7">
      <w:pPr>
        <w:spacing w:before="120" w:after="120"/>
        <w:jc w:val="both"/>
        <w:rPr>
          <w:b/>
        </w:rPr>
      </w:pPr>
    </w:p>
    <w:p w:rsidR="00D74BF3" w:rsidRPr="003D53D2" w:rsidRDefault="00D74BF3" w:rsidP="00C242C7">
      <w:pPr>
        <w:numPr>
          <w:ilvl w:val="1"/>
          <w:numId w:val="14"/>
        </w:numPr>
        <w:spacing w:before="120" w:after="120"/>
        <w:ind w:left="0" w:firstLine="0"/>
        <w:jc w:val="both"/>
        <w:rPr>
          <w:b/>
        </w:rPr>
      </w:pPr>
      <w:r w:rsidRPr="003D53D2">
        <w:rPr>
          <w:b/>
        </w:rPr>
        <w:t>Коэффициенты, характеризующие операционную деятельность</w:t>
      </w:r>
    </w:p>
    <w:p w:rsidR="00D74BF3" w:rsidRPr="003D53D2" w:rsidRDefault="00D74BF3" w:rsidP="00C242C7">
      <w:pPr>
        <w:numPr>
          <w:ilvl w:val="2"/>
          <w:numId w:val="14"/>
        </w:numPr>
        <w:spacing w:before="120" w:after="120"/>
        <w:ind w:left="0" w:firstLine="0"/>
        <w:jc w:val="both"/>
        <w:rPr>
          <w:b/>
          <w:i/>
        </w:rPr>
      </w:pPr>
      <w:r w:rsidRPr="003D53D2">
        <w:rPr>
          <w:b/>
          <w:i/>
        </w:rPr>
        <w:t>Период оборота кредиторской задолженности</w:t>
      </w:r>
    </w:p>
    <w:p w:rsidR="00D74BF3" w:rsidRPr="003D53D2" w:rsidRDefault="00D74BF3" w:rsidP="00C242C7">
      <w:pPr>
        <w:spacing w:before="120" w:after="120"/>
        <w:jc w:val="both"/>
      </w:pPr>
      <w:r w:rsidRPr="003D53D2">
        <w:t>Показатель оценивает срок (в днях), в течение которого краткосрочная кредиторская задолженность может быть погашена. Т.е. оценивает платежеспособность организации в краткосрочном периоде перед краткосрочными коммерческими кредиторами.</w:t>
      </w:r>
    </w:p>
    <w:p w:rsidR="00D74BF3" w:rsidRDefault="00D74BF3" w:rsidP="00C242C7">
      <w:pPr>
        <w:spacing w:before="120" w:after="120"/>
        <w:jc w:val="both"/>
        <w:rPr>
          <w:b/>
          <w:i/>
        </w:rPr>
      </w:pPr>
      <w:r w:rsidRPr="003D53D2">
        <w:object w:dxaOrig="4780" w:dyaOrig="680" w14:anchorId="2512F411">
          <v:shape id="_x0000_i1028" type="#_x0000_t75" style="width:239.25pt;height:33.75pt" o:ole="">
            <v:imagedata r:id="rId14" o:title=""/>
          </v:shape>
          <o:OLEObject Type="Embed" ProgID="Equation.3" ShapeID="_x0000_i1028" DrawAspect="Content" ObjectID="_1595682136" r:id="rId15"/>
        </w:object>
      </w:r>
    </w:p>
    <w:p w:rsidR="00641ED9" w:rsidRDefault="00641ED9" w:rsidP="00C242C7">
      <w:pPr>
        <w:spacing w:before="120" w:after="120"/>
        <w:jc w:val="both"/>
        <w:rPr>
          <w:b/>
          <w:i/>
        </w:rPr>
      </w:pPr>
    </w:p>
    <w:p w:rsidR="00641ED9" w:rsidRPr="003D53D2" w:rsidRDefault="00641ED9" w:rsidP="00C242C7">
      <w:pPr>
        <w:spacing w:before="120" w:after="120"/>
        <w:jc w:val="both"/>
        <w:rPr>
          <w:b/>
          <w:i/>
        </w:rPr>
      </w:pPr>
    </w:p>
    <w:p w:rsidR="00D74BF3" w:rsidRPr="003D53D2" w:rsidRDefault="00D74BF3" w:rsidP="00C242C7">
      <w:pPr>
        <w:numPr>
          <w:ilvl w:val="2"/>
          <w:numId w:val="14"/>
        </w:numPr>
        <w:spacing w:before="120" w:after="120"/>
        <w:ind w:left="0" w:firstLine="0"/>
        <w:jc w:val="both"/>
        <w:rPr>
          <w:b/>
          <w:i/>
        </w:rPr>
      </w:pPr>
      <w:r w:rsidRPr="003D53D2">
        <w:rPr>
          <w:b/>
          <w:i/>
        </w:rPr>
        <w:t>Период оборота дебиторской задолженности.</w:t>
      </w:r>
    </w:p>
    <w:p w:rsidR="00D74BF3" w:rsidRPr="003D53D2" w:rsidRDefault="00D74BF3" w:rsidP="00C242C7">
      <w:pPr>
        <w:spacing w:before="120" w:after="120"/>
        <w:jc w:val="both"/>
      </w:pPr>
      <w:r w:rsidRPr="003D53D2">
        <w:t>Показатель оценивает срок (в днях), в течение которого покупатели в среднем расплачиваются с оцениваемой компанией, т. е. косвенно характеризует платежеспособность покупателей, а также эффективность мероприятий по сбору платежей:</w:t>
      </w:r>
    </w:p>
    <w:p w:rsidR="00D74BF3" w:rsidRPr="003D53D2" w:rsidRDefault="00D74BF3" w:rsidP="00C242C7">
      <w:pPr>
        <w:spacing w:before="120" w:after="120"/>
        <w:jc w:val="both"/>
      </w:pPr>
      <w:r w:rsidRPr="003D53D2">
        <w:object w:dxaOrig="4819" w:dyaOrig="680" w14:anchorId="6329E500">
          <v:shape id="_x0000_i1029" type="#_x0000_t75" style="width:240pt;height:33.75pt" o:ole="">
            <v:imagedata r:id="rId16" o:title=""/>
          </v:shape>
          <o:OLEObject Type="Embed" ProgID="Equation.3" ShapeID="_x0000_i1029" DrawAspect="Content" ObjectID="_1595682137" r:id="rId17"/>
        </w:object>
      </w:r>
    </w:p>
    <w:p w:rsidR="008E53D5" w:rsidRDefault="008E53D5" w:rsidP="00C242C7">
      <w:pPr>
        <w:jc w:val="right"/>
        <w:rPr>
          <w:lang w:val="en-US"/>
        </w:rPr>
      </w:pPr>
    </w:p>
    <w:p w:rsidR="00D74BF3" w:rsidRPr="003D53D2" w:rsidRDefault="00D74BF3" w:rsidP="00C242C7">
      <w:pPr>
        <w:jc w:val="right"/>
      </w:pPr>
      <w:r w:rsidRPr="003D53D2">
        <w:t>Таблица перевода значений финансовых показателей в баллы по шкале от 0 до 1</w:t>
      </w:r>
    </w:p>
    <w:p w:rsidR="00D74BF3" w:rsidRPr="003D53D2" w:rsidRDefault="00D74BF3" w:rsidP="00C242C7">
      <w:pPr>
        <w:jc w:val="right"/>
      </w:pPr>
    </w:p>
    <w:tbl>
      <w:tblPr>
        <w:tblW w:w="9923" w:type="dxa"/>
        <w:tblInd w:w="-5" w:type="dxa"/>
        <w:tblLayout w:type="fixed"/>
        <w:tblLook w:val="04A0" w:firstRow="1" w:lastRow="0" w:firstColumn="1" w:lastColumn="0" w:noHBand="0" w:noVBand="1"/>
      </w:tblPr>
      <w:tblGrid>
        <w:gridCol w:w="2410"/>
        <w:gridCol w:w="851"/>
        <w:gridCol w:w="630"/>
        <w:gridCol w:w="630"/>
        <w:gridCol w:w="630"/>
        <w:gridCol w:w="630"/>
        <w:gridCol w:w="630"/>
        <w:gridCol w:w="630"/>
        <w:gridCol w:w="630"/>
        <w:gridCol w:w="630"/>
        <w:gridCol w:w="630"/>
        <w:gridCol w:w="992"/>
      </w:tblGrid>
      <w:tr w:rsidR="00D74BF3" w:rsidRPr="003D53D2" w:rsidTr="00C242C7">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74BF3" w:rsidRPr="003D53D2" w:rsidRDefault="00D74BF3" w:rsidP="00C242C7">
            <w:pPr>
              <w:rPr>
                <w:color w:val="000000"/>
              </w:rPr>
            </w:pPr>
            <w:r w:rsidRPr="003D53D2">
              <w:rPr>
                <w:color w:val="000000"/>
              </w:rPr>
              <w:t>Оценка</w:t>
            </w:r>
          </w:p>
          <w:p w:rsidR="00D74BF3" w:rsidRPr="003D53D2" w:rsidRDefault="00D74BF3" w:rsidP="00C242C7">
            <w:pPr>
              <w:rPr>
                <w:color w:val="000000"/>
              </w:rPr>
            </w:pPr>
            <w:r w:rsidRPr="003D53D2">
              <w:rPr>
                <w:color w:val="000000"/>
              </w:rPr>
              <w:t>(мин 0 - макс 1)</w:t>
            </w:r>
          </w:p>
        </w:tc>
        <w:tc>
          <w:tcPr>
            <w:tcW w:w="851"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0,0</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0,1</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0,2</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0,3</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0,4</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0,5</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0,6</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0,7</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0,8</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0,9</w:t>
            </w:r>
          </w:p>
        </w:tc>
        <w:tc>
          <w:tcPr>
            <w:tcW w:w="992"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1,0</w:t>
            </w:r>
          </w:p>
        </w:tc>
      </w:tr>
      <w:tr w:rsidR="00D74BF3" w:rsidRPr="003D53D2" w:rsidTr="00C242C7">
        <w:trPr>
          <w:trHeight w:val="600"/>
        </w:trPr>
        <w:tc>
          <w:tcPr>
            <w:tcW w:w="2410" w:type="dxa"/>
            <w:tcBorders>
              <w:top w:val="nil"/>
              <w:left w:val="single" w:sz="4" w:space="0" w:color="auto"/>
              <w:bottom w:val="single" w:sz="4" w:space="0" w:color="auto"/>
              <w:right w:val="single" w:sz="4" w:space="0" w:color="auto"/>
            </w:tcBorders>
            <w:shd w:val="clear" w:color="auto" w:fill="auto"/>
          </w:tcPr>
          <w:p w:rsidR="00D74BF3" w:rsidRPr="003D53D2" w:rsidRDefault="00D74BF3" w:rsidP="00C242C7">
            <w:pPr>
              <w:rPr>
                <w:color w:val="000000"/>
              </w:rPr>
            </w:pPr>
            <w:r w:rsidRPr="003D53D2">
              <w:rPr>
                <w:color w:val="000000"/>
              </w:rPr>
              <w:t>период оборота дебиторской задолженности, дн</w:t>
            </w:r>
          </w:p>
        </w:tc>
        <w:tc>
          <w:tcPr>
            <w:tcW w:w="851" w:type="dxa"/>
            <w:tcBorders>
              <w:top w:val="nil"/>
              <w:left w:val="nil"/>
              <w:bottom w:val="single" w:sz="4" w:space="0" w:color="auto"/>
              <w:right w:val="single" w:sz="4" w:space="0" w:color="auto"/>
            </w:tcBorders>
            <w:shd w:val="clear" w:color="000000" w:fill="FFE5E5"/>
            <w:vAlign w:val="center"/>
          </w:tcPr>
          <w:p w:rsidR="00D74BF3" w:rsidRPr="003D53D2" w:rsidRDefault="00D74BF3" w:rsidP="00C242C7">
            <w:pPr>
              <w:rPr>
                <w:color w:val="000000"/>
              </w:rPr>
            </w:pPr>
            <w:r w:rsidRPr="003D53D2">
              <w:rPr>
                <w:color w:val="000000"/>
              </w:rPr>
              <w:t>более 180 дней</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right"/>
              <w:rPr>
                <w:color w:val="000000"/>
              </w:rPr>
            </w:pPr>
            <w:r w:rsidRPr="003D53D2">
              <w:rPr>
                <w:color w:val="000000"/>
              </w:rPr>
              <w:t>165</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right"/>
              <w:rPr>
                <w:color w:val="000000"/>
              </w:rPr>
            </w:pPr>
            <w:r w:rsidRPr="003D53D2">
              <w:rPr>
                <w:color w:val="000000"/>
              </w:rPr>
              <w:t>150</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right"/>
              <w:rPr>
                <w:color w:val="000000"/>
              </w:rPr>
            </w:pPr>
            <w:r w:rsidRPr="003D53D2">
              <w:rPr>
                <w:color w:val="000000"/>
              </w:rPr>
              <w:t>135</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right"/>
              <w:rPr>
                <w:color w:val="000000"/>
              </w:rPr>
            </w:pPr>
            <w:r w:rsidRPr="003D53D2">
              <w:rPr>
                <w:color w:val="000000"/>
              </w:rPr>
              <w:t>120</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right"/>
              <w:rPr>
                <w:color w:val="000000"/>
              </w:rPr>
            </w:pPr>
            <w:r w:rsidRPr="003D53D2">
              <w:rPr>
                <w:color w:val="000000"/>
              </w:rPr>
              <w:t>105</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90</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75</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60</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45</w:t>
            </w:r>
          </w:p>
        </w:tc>
        <w:tc>
          <w:tcPr>
            <w:tcW w:w="992" w:type="dxa"/>
            <w:tcBorders>
              <w:top w:val="nil"/>
              <w:left w:val="nil"/>
              <w:bottom w:val="single" w:sz="4" w:space="0" w:color="auto"/>
              <w:right w:val="single" w:sz="4" w:space="0" w:color="auto"/>
            </w:tcBorders>
            <w:shd w:val="clear" w:color="000000" w:fill="C6FED1"/>
            <w:vAlign w:val="center"/>
          </w:tcPr>
          <w:p w:rsidR="00D74BF3" w:rsidRPr="003D53D2" w:rsidRDefault="00D74BF3" w:rsidP="00C242C7">
            <w:pPr>
              <w:rPr>
                <w:color w:val="000000"/>
              </w:rPr>
            </w:pPr>
            <w:r w:rsidRPr="003D53D2">
              <w:rPr>
                <w:color w:val="000000"/>
              </w:rPr>
              <w:t>до 30 дней</w:t>
            </w:r>
          </w:p>
        </w:tc>
      </w:tr>
      <w:tr w:rsidR="00D74BF3" w:rsidRPr="003D53D2" w:rsidTr="00C242C7">
        <w:trPr>
          <w:trHeight w:val="600"/>
        </w:trPr>
        <w:tc>
          <w:tcPr>
            <w:tcW w:w="2410" w:type="dxa"/>
            <w:tcBorders>
              <w:top w:val="nil"/>
              <w:left w:val="single" w:sz="4" w:space="0" w:color="auto"/>
              <w:bottom w:val="single" w:sz="4" w:space="0" w:color="auto"/>
              <w:right w:val="single" w:sz="4" w:space="0" w:color="auto"/>
            </w:tcBorders>
            <w:shd w:val="clear" w:color="auto" w:fill="auto"/>
          </w:tcPr>
          <w:p w:rsidR="00D74BF3" w:rsidRPr="003D53D2" w:rsidRDefault="00D74BF3" w:rsidP="00C242C7">
            <w:pPr>
              <w:rPr>
                <w:color w:val="000000"/>
              </w:rPr>
            </w:pPr>
            <w:r w:rsidRPr="003D53D2">
              <w:rPr>
                <w:color w:val="000000"/>
              </w:rPr>
              <w:t>период оборота кредиторской задолженности, дн</w:t>
            </w:r>
          </w:p>
        </w:tc>
        <w:tc>
          <w:tcPr>
            <w:tcW w:w="851" w:type="dxa"/>
            <w:tcBorders>
              <w:top w:val="nil"/>
              <w:left w:val="nil"/>
              <w:bottom w:val="single" w:sz="4" w:space="0" w:color="auto"/>
              <w:right w:val="single" w:sz="4" w:space="0" w:color="auto"/>
            </w:tcBorders>
            <w:shd w:val="clear" w:color="000000" w:fill="FFE5E5"/>
            <w:vAlign w:val="center"/>
          </w:tcPr>
          <w:p w:rsidR="00D74BF3" w:rsidRPr="003D53D2" w:rsidRDefault="00D74BF3" w:rsidP="00C242C7">
            <w:pPr>
              <w:rPr>
                <w:color w:val="000000"/>
              </w:rPr>
            </w:pPr>
            <w:r w:rsidRPr="003D53D2">
              <w:rPr>
                <w:color w:val="000000"/>
              </w:rPr>
              <w:t>более 180 дней</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right"/>
              <w:rPr>
                <w:color w:val="000000"/>
              </w:rPr>
            </w:pPr>
            <w:r w:rsidRPr="003D53D2">
              <w:rPr>
                <w:color w:val="000000"/>
              </w:rPr>
              <w:t>165</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right"/>
              <w:rPr>
                <w:color w:val="000000"/>
              </w:rPr>
            </w:pPr>
            <w:r w:rsidRPr="003D53D2">
              <w:rPr>
                <w:color w:val="000000"/>
              </w:rPr>
              <w:t>150</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right"/>
              <w:rPr>
                <w:color w:val="000000"/>
              </w:rPr>
            </w:pPr>
            <w:r w:rsidRPr="003D53D2">
              <w:rPr>
                <w:color w:val="000000"/>
              </w:rPr>
              <w:t>135</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right"/>
              <w:rPr>
                <w:color w:val="000000"/>
              </w:rPr>
            </w:pPr>
            <w:r w:rsidRPr="003D53D2">
              <w:rPr>
                <w:color w:val="000000"/>
              </w:rPr>
              <w:t>120</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right"/>
              <w:rPr>
                <w:color w:val="000000"/>
              </w:rPr>
            </w:pPr>
            <w:r w:rsidRPr="003D53D2">
              <w:rPr>
                <w:color w:val="000000"/>
              </w:rPr>
              <w:t>105</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90</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75</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60</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right"/>
              <w:rPr>
                <w:color w:val="000000"/>
              </w:rPr>
            </w:pPr>
            <w:r w:rsidRPr="003D53D2">
              <w:rPr>
                <w:color w:val="000000"/>
              </w:rPr>
              <w:t>45</w:t>
            </w:r>
          </w:p>
        </w:tc>
        <w:tc>
          <w:tcPr>
            <w:tcW w:w="992" w:type="dxa"/>
            <w:tcBorders>
              <w:top w:val="nil"/>
              <w:left w:val="nil"/>
              <w:bottom w:val="single" w:sz="4" w:space="0" w:color="auto"/>
              <w:right w:val="single" w:sz="4" w:space="0" w:color="auto"/>
            </w:tcBorders>
            <w:shd w:val="clear" w:color="000000" w:fill="C6FED1"/>
            <w:vAlign w:val="center"/>
          </w:tcPr>
          <w:p w:rsidR="00D74BF3" w:rsidRPr="003D53D2" w:rsidRDefault="00D74BF3" w:rsidP="00C242C7">
            <w:pPr>
              <w:rPr>
                <w:color w:val="000000"/>
              </w:rPr>
            </w:pPr>
            <w:r w:rsidRPr="003D53D2">
              <w:rPr>
                <w:color w:val="000000"/>
              </w:rPr>
              <w:t>до 30 дней</w:t>
            </w:r>
          </w:p>
        </w:tc>
      </w:tr>
    </w:tbl>
    <w:p w:rsidR="00D74BF3" w:rsidRPr="003D53D2" w:rsidRDefault="00D74BF3" w:rsidP="00C242C7">
      <w:pPr>
        <w:spacing w:before="120" w:after="120"/>
        <w:jc w:val="both"/>
      </w:pPr>
    </w:p>
    <w:p w:rsidR="00D74BF3" w:rsidRPr="003D53D2" w:rsidRDefault="00D74BF3" w:rsidP="00C242C7">
      <w:pPr>
        <w:numPr>
          <w:ilvl w:val="1"/>
          <w:numId w:val="14"/>
        </w:numPr>
        <w:spacing w:before="120" w:after="120"/>
        <w:ind w:left="0" w:firstLine="0"/>
        <w:jc w:val="both"/>
        <w:rPr>
          <w:b/>
        </w:rPr>
      </w:pPr>
      <w:r w:rsidRPr="003D53D2">
        <w:rPr>
          <w:b/>
        </w:rPr>
        <w:t>Коэффициенты, характеризующие ликвидность</w:t>
      </w:r>
    </w:p>
    <w:p w:rsidR="00D74BF3" w:rsidRPr="003D53D2" w:rsidRDefault="00D74BF3" w:rsidP="00C242C7">
      <w:pPr>
        <w:numPr>
          <w:ilvl w:val="2"/>
          <w:numId w:val="14"/>
        </w:numPr>
        <w:spacing w:before="120" w:after="120"/>
        <w:ind w:left="0" w:firstLine="0"/>
        <w:jc w:val="both"/>
        <w:rPr>
          <w:b/>
          <w:i/>
        </w:rPr>
      </w:pPr>
      <w:r w:rsidRPr="003D53D2">
        <w:rPr>
          <w:b/>
          <w:i/>
        </w:rPr>
        <w:t>Абсолютная ликвидность</w:t>
      </w:r>
    </w:p>
    <w:p w:rsidR="00D74BF3" w:rsidRPr="003D53D2" w:rsidRDefault="00D74BF3" w:rsidP="00C242C7">
      <w:pPr>
        <w:spacing w:before="120" w:after="120"/>
        <w:jc w:val="both"/>
      </w:pPr>
      <w:r w:rsidRPr="003D53D2">
        <w:t>Абсолютная ликвидность - отражает возможность предприятия погасить свои краткосрочные обязательства практически мгновенно (мгновенная платежеспособность).</w:t>
      </w:r>
    </w:p>
    <w:p w:rsidR="00D74BF3" w:rsidRDefault="00D74BF3" w:rsidP="00C242C7">
      <w:pPr>
        <w:spacing w:before="120" w:after="120"/>
        <w:jc w:val="both"/>
        <w:rPr>
          <w:lang w:val="en-US"/>
        </w:rPr>
      </w:pPr>
      <w:r w:rsidRPr="003D53D2">
        <w:object w:dxaOrig="3540" w:dyaOrig="680" w14:anchorId="59430D03">
          <v:shape id="_x0000_i1030" type="#_x0000_t75" style="width:177pt;height:33.75pt" o:ole="">
            <v:imagedata r:id="rId18" o:title=""/>
          </v:shape>
          <o:OLEObject Type="Embed" ProgID="Equation.3" ShapeID="_x0000_i1030" DrawAspect="Content" ObjectID="_1595682138" r:id="rId19"/>
        </w:object>
      </w:r>
    </w:p>
    <w:p w:rsidR="00D74BF3" w:rsidRPr="003D53D2" w:rsidRDefault="00D74BF3" w:rsidP="00C242C7">
      <w:pPr>
        <w:numPr>
          <w:ilvl w:val="2"/>
          <w:numId w:val="14"/>
        </w:numPr>
        <w:spacing w:before="120" w:after="120"/>
        <w:ind w:left="0" w:firstLine="0"/>
        <w:jc w:val="both"/>
        <w:rPr>
          <w:b/>
          <w:i/>
        </w:rPr>
      </w:pPr>
      <w:r w:rsidRPr="003D53D2">
        <w:rPr>
          <w:b/>
          <w:i/>
        </w:rPr>
        <w:t>Покрытие внеоборотных активов долгосрочными источниками финансирования</w:t>
      </w:r>
    </w:p>
    <w:p w:rsidR="00D74BF3" w:rsidRPr="003D53D2" w:rsidRDefault="00D74BF3" w:rsidP="00C242C7">
      <w:pPr>
        <w:spacing w:before="120" w:after="120"/>
        <w:jc w:val="both"/>
      </w:pPr>
      <w:r w:rsidRPr="003D53D2">
        <w:t>Коэффициент покрытия внеоборотных активов собственным капиталом  и долгосрочными обязательствами – отражает, в какой степени внеоборотные активы предприятия финансируются долгосрочным капиталом (заемным и собственным). Коэффициент оценивает ликвидность баланса компании</w:t>
      </w:r>
    </w:p>
    <w:p w:rsidR="00D74BF3" w:rsidRPr="003D53D2" w:rsidRDefault="00D74BF3" w:rsidP="00C242C7">
      <w:pPr>
        <w:spacing w:before="120" w:after="120"/>
        <w:jc w:val="both"/>
      </w:pPr>
      <w:r w:rsidRPr="003D53D2">
        <w:rPr>
          <w:position w:val="-30"/>
        </w:rPr>
        <w:object w:dxaOrig="5940" w:dyaOrig="680" w14:anchorId="7C570806">
          <v:shape id="_x0000_i1031" type="#_x0000_t75" style="width:297pt;height:33.75pt" o:ole="">
            <v:imagedata r:id="rId20" o:title=""/>
          </v:shape>
          <o:OLEObject Type="Embed" ProgID="Equation.3" ShapeID="_x0000_i1031" DrawAspect="Content" ObjectID="_1595682139" r:id="rId21"/>
        </w:object>
      </w:r>
    </w:p>
    <w:p w:rsidR="008E53D5" w:rsidRDefault="008E53D5" w:rsidP="00C242C7">
      <w:pPr>
        <w:jc w:val="right"/>
        <w:rPr>
          <w:lang w:val="en-US"/>
        </w:rPr>
      </w:pPr>
    </w:p>
    <w:p w:rsidR="008E53D5" w:rsidRDefault="008E53D5" w:rsidP="00C242C7">
      <w:pPr>
        <w:jc w:val="right"/>
        <w:rPr>
          <w:lang w:val="en-US"/>
        </w:rPr>
      </w:pPr>
    </w:p>
    <w:p w:rsidR="00D74BF3" w:rsidRPr="003D53D2" w:rsidRDefault="00D74BF3" w:rsidP="00C242C7">
      <w:pPr>
        <w:jc w:val="right"/>
      </w:pPr>
      <w:r w:rsidRPr="003D53D2">
        <w:t>Таблица перевода значений финансовых показателей в баллы по шкале от 0 до 1</w:t>
      </w:r>
    </w:p>
    <w:p w:rsidR="00D74BF3" w:rsidRPr="003D53D2" w:rsidRDefault="00D74BF3" w:rsidP="00C242C7">
      <w:pPr>
        <w:jc w:val="right"/>
      </w:pPr>
    </w:p>
    <w:tbl>
      <w:tblPr>
        <w:tblW w:w="9781" w:type="dxa"/>
        <w:tblInd w:w="-5" w:type="dxa"/>
        <w:tblLayout w:type="fixed"/>
        <w:tblLook w:val="04A0" w:firstRow="1" w:lastRow="0" w:firstColumn="1" w:lastColumn="0" w:noHBand="0" w:noVBand="1"/>
      </w:tblPr>
      <w:tblGrid>
        <w:gridCol w:w="2384"/>
        <w:gridCol w:w="841"/>
        <w:gridCol w:w="634"/>
        <w:gridCol w:w="634"/>
        <w:gridCol w:w="634"/>
        <w:gridCol w:w="634"/>
        <w:gridCol w:w="634"/>
        <w:gridCol w:w="634"/>
        <w:gridCol w:w="634"/>
        <w:gridCol w:w="634"/>
        <w:gridCol w:w="634"/>
        <w:gridCol w:w="850"/>
      </w:tblGrid>
      <w:tr w:rsidR="00D74BF3" w:rsidRPr="003D53D2" w:rsidTr="00C242C7">
        <w:trPr>
          <w:trHeight w:val="300"/>
        </w:trPr>
        <w:tc>
          <w:tcPr>
            <w:tcW w:w="2384"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4BF3" w:rsidRPr="003D53D2" w:rsidRDefault="00D74BF3" w:rsidP="00C242C7">
            <w:pPr>
              <w:rPr>
                <w:color w:val="000000"/>
              </w:rPr>
            </w:pPr>
            <w:r w:rsidRPr="003D53D2">
              <w:rPr>
                <w:color w:val="000000"/>
              </w:rPr>
              <w:t>Оценка</w:t>
            </w:r>
          </w:p>
          <w:p w:rsidR="00D74BF3" w:rsidRPr="003D53D2" w:rsidRDefault="00D74BF3" w:rsidP="00C242C7">
            <w:pPr>
              <w:rPr>
                <w:color w:val="000000"/>
              </w:rPr>
            </w:pPr>
            <w:r w:rsidRPr="003D53D2">
              <w:rPr>
                <w:color w:val="000000"/>
              </w:rPr>
              <w:t>(мин 0 - макс 1)</w:t>
            </w:r>
          </w:p>
        </w:tc>
        <w:tc>
          <w:tcPr>
            <w:tcW w:w="841"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0,0</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0,1</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0,2</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0,3</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0,4</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0,5</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0,6</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0,7</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0,8</w:t>
            </w:r>
          </w:p>
        </w:tc>
        <w:tc>
          <w:tcPr>
            <w:tcW w:w="634"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0,9</w:t>
            </w:r>
          </w:p>
        </w:tc>
        <w:tc>
          <w:tcPr>
            <w:tcW w:w="85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1,0</w:t>
            </w:r>
          </w:p>
        </w:tc>
      </w:tr>
      <w:tr w:rsidR="00D74BF3" w:rsidRPr="003D53D2" w:rsidTr="00C242C7">
        <w:trPr>
          <w:trHeight w:val="600"/>
        </w:trPr>
        <w:tc>
          <w:tcPr>
            <w:tcW w:w="2384" w:type="dxa"/>
            <w:tcBorders>
              <w:top w:val="nil"/>
              <w:left w:val="single" w:sz="4" w:space="0" w:color="auto"/>
              <w:bottom w:val="single" w:sz="4" w:space="0" w:color="auto"/>
              <w:right w:val="single" w:sz="4" w:space="0" w:color="auto"/>
            </w:tcBorders>
            <w:shd w:val="clear" w:color="auto" w:fill="auto"/>
            <w:vAlign w:val="center"/>
          </w:tcPr>
          <w:p w:rsidR="00D74BF3" w:rsidRPr="003D53D2" w:rsidRDefault="00D74BF3" w:rsidP="00C242C7">
            <w:pPr>
              <w:rPr>
                <w:color w:val="000000"/>
              </w:rPr>
            </w:pPr>
            <w:r w:rsidRPr="003D53D2">
              <w:rPr>
                <w:color w:val="000000"/>
              </w:rPr>
              <w:t xml:space="preserve">Абсолютная ликвидность </w:t>
            </w:r>
          </w:p>
        </w:tc>
        <w:tc>
          <w:tcPr>
            <w:tcW w:w="841" w:type="dxa"/>
            <w:tcBorders>
              <w:top w:val="nil"/>
              <w:left w:val="nil"/>
              <w:bottom w:val="single" w:sz="4" w:space="0" w:color="auto"/>
              <w:right w:val="single" w:sz="4" w:space="0" w:color="auto"/>
            </w:tcBorders>
            <w:shd w:val="clear" w:color="000000" w:fill="FFE5E5"/>
            <w:vAlign w:val="center"/>
          </w:tcPr>
          <w:p w:rsidR="00D74BF3" w:rsidRPr="003D53D2" w:rsidRDefault="00D74BF3" w:rsidP="00C242C7">
            <w:pPr>
              <w:jc w:val="center"/>
              <w:rPr>
                <w:color w:val="000000"/>
              </w:rPr>
            </w:pPr>
            <w:r w:rsidRPr="003D53D2">
              <w:rPr>
                <w:color w:val="000000"/>
              </w:rPr>
              <w:t>менее 0,02</w:t>
            </w:r>
          </w:p>
        </w:tc>
        <w:tc>
          <w:tcPr>
            <w:tcW w:w="634"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rPr>
              <w:t>0,03</w:t>
            </w:r>
          </w:p>
        </w:tc>
        <w:tc>
          <w:tcPr>
            <w:tcW w:w="634"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rPr>
              <w:t>0,04</w:t>
            </w:r>
          </w:p>
        </w:tc>
        <w:tc>
          <w:tcPr>
            <w:tcW w:w="634"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rPr>
              <w:t>0,05</w:t>
            </w:r>
          </w:p>
        </w:tc>
        <w:tc>
          <w:tcPr>
            <w:tcW w:w="634"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rPr>
              <w:t>0,06</w:t>
            </w:r>
          </w:p>
        </w:tc>
        <w:tc>
          <w:tcPr>
            <w:tcW w:w="634"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rPr>
              <w:t>0,07</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0,09</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0,1</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0,13</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0,17</w:t>
            </w:r>
          </w:p>
        </w:tc>
        <w:tc>
          <w:tcPr>
            <w:tcW w:w="850" w:type="dxa"/>
            <w:tcBorders>
              <w:top w:val="nil"/>
              <w:left w:val="nil"/>
              <w:bottom w:val="single" w:sz="4" w:space="0" w:color="auto"/>
              <w:right w:val="single" w:sz="4" w:space="0" w:color="auto"/>
            </w:tcBorders>
            <w:shd w:val="clear" w:color="000000" w:fill="C6FED1"/>
            <w:vAlign w:val="center"/>
          </w:tcPr>
          <w:p w:rsidR="00D74BF3" w:rsidRPr="003D53D2" w:rsidRDefault="00D74BF3" w:rsidP="00C242C7">
            <w:pPr>
              <w:jc w:val="center"/>
              <w:rPr>
                <w:color w:val="000000"/>
              </w:rPr>
            </w:pPr>
            <w:r w:rsidRPr="003D53D2">
              <w:rPr>
                <w:color w:val="000000"/>
              </w:rPr>
              <w:t>более 0,2</w:t>
            </w:r>
          </w:p>
        </w:tc>
      </w:tr>
      <w:tr w:rsidR="00D74BF3" w:rsidRPr="003D53D2" w:rsidTr="00C242C7">
        <w:trPr>
          <w:trHeight w:val="1500"/>
        </w:trPr>
        <w:tc>
          <w:tcPr>
            <w:tcW w:w="2384" w:type="dxa"/>
            <w:tcBorders>
              <w:top w:val="nil"/>
              <w:left w:val="single" w:sz="4" w:space="0" w:color="auto"/>
              <w:bottom w:val="single" w:sz="4" w:space="0" w:color="auto"/>
              <w:right w:val="single" w:sz="4" w:space="0" w:color="auto"/>
            </w:tcBorders>
            <w:shd w:val="clear" w:color="auto" w:fill="auto"/>
            <w:vAlign w:val="center"/>
          </w:tcPr>
          <w:p w:rsidR="00D74BF3" w:rsidRPr="003D53D2" w:rsidRDefault="00D74BF3" w:rsidP="00C242C7">
            <w:pPr>
              <w:rPr>
                <w:color w:val="000000"/>
              </w:rPr>
            </w:pPr>
            <w:r w:rsidRPr="003D53D2">
              <w:rPr>
                <w:color w:val="000000"/>
              </w:rPr>
              <w:t>Покрытие внеоборотных активов долгосрочными источниками финансирования</w:t>
            </w:r>
          </w:p>
        </w:tc>
        <w:tc>
          <w:tcPr>
            <w:tcW w:w="841" w:type="dxa"/>
            <w:tcBorders>
              <w:top w:val="nil"/>
              <w:left w:val="nil"/>
              <w:bottom w:val="single" w:sz="4" w:space="0" w:color="auto"/>
              <w:right w:val="single" w:sz="4" w:space="0" w:color="auto"/>
            </w:tcBorders>
            <w:shd w:val="clear" w:color="000000" w:fill="FFE5E5"/>
            <w:vAlign w:val="center"/>
          </w:tcPr>
          <w:p w:rsidR="00D74BF3" w:rsidRPr="003D53D2" w:rsidRDefault="00D74BF3" w:rsidP="00C242C7">
            <w:pPr>
              <w:jc w:val="center"/>
              <w:rPr>
                <w:color w:val="000000"/>
              </w:rPr>
            </w:pPr>
            <w:r w:rsidRPr="003D53D2">
              <w:rPr>
                <w:color w:val="000000"/>
              </w:rPr>
              <w:t>более 1,8</w:t>
            </w:r>
          </w:p>
        </w:tc>
        <w:tc>
          <w:tcPr>
            <w:tcW w:w="634"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rPr>
              <w:t>1,7</w:t>
            </w:r>
          </w:p>
        </w:tc>
        <w:tc>
          <w:tcPr>
            <w:tcW w:w="634"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rPr>
              <w:t>1,6</w:t>
            </w:r>
          </w:p>
        </w:tc>
        <w:tc>
          <w:tcPr>
            <w:tcW w:w="634"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rPr>
              <w:t>1,5</w:t>
            </w:r>
          </w:p>
        </w:tc>
        <w:tc>
          <w:tcPr>
            <w:tcW w:w="634"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rPr>
              <w:t>1,4</w:t>
            </w:r>
          </w:p>
        </w:tc>
        <w:tc>
          <w:tcPr>
            <w:tcW w:w="634"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rPr>
              <w:t>1,3</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1,2</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1,1</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1</w:t>
            </w:r>
          </w:p>
        </w:tc>
        <w:tc>
          <w:tcPr>
            <w:tcW w:w="634"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0,9</w:t>
            </w:r>
          </w:p>
        </w:tc>
        <w:tc>
          <w:tcPr>
            <w:tcW w:w="850" w:type="dxa"/>
            <w:tcBorders>
              <w:top w:val="nil"/>
              <w:left w:val="nil"/>
              <w:bottom w:val="single" w:sz="4" w:space="0" w:color="auto"/>
              <w:right w:val="single" w:sz="4" w:space="0" w:color="auto"/>
            </w:tcBorders>
            <w:shd w:val="clear" w:color="000000" w:fill="C6FED1"/>
            <w:vAlign w:val="center"/>
          </w:tcPr>
          <w:p w:rsidR="00D74BF3" w:rsidRPr="003D53D2" w:rsidRDefault="00D74BF3" w:rsidP="00C242C7">
            <w:pPr>
              <w:jc w:val="center"/>
              <w:rPr>
                <w:color w:val="000000"/>
              </w:rPr>
            </w:pPr>
            <w:r w:rsidRPr="003D53D2">
              <w:rPr>
                <w:color w:val="000000"/>
              </w:rPr>
              <w:t>менее 0,8</w:t>
            </w:r>
          </w:p>
        </w:tc>
      </w:tr>
    </w:tbl>
    <w:p w:rsidR="00D74BF3" w:rsidRDefault="00D74BF3" w:rsidP="00C242C7"/>
    <w:p w:rsidR="000E4B99" w:rsidRPr="003D53D2" w:rsidRDefault="000E4B99" w:rsidP="00C242C7"/>
    <w:p w:rsidR="00D91558" w:rsidRDefault="00D74BF3" w:rsidP="00416968">
      <w:pPr>
        <w:pStyle w:val="1"/>
      </w:pPr>
      <w:bookmarkStart w:id="53" w:name="_Toc326066016"/>
      <w:bookmarkStart w:id="54" w:name="_Toc326066286"/>
      <w:bookmarkStart w:id="55" w:name="_Toc326067317"/>
      <w:bookmarkStart w:id="56" w:name="_Toc516132525"/>
      <w:bookmarkStart w:id="57" w:name="_Toc518302237"/>
      <w:bookmarkStart w:id="58" w:name="_Toc322961181"/>
      <w:r w:rsidRPr="00D177A1">
        <w:t>Группа показателей бизнес-риска</w:t>
      </w:r>
      <w:bookmarkEnd w:id="53"/>
      <w:bookmarkEnd w:id="54"/>
      <w:bookmarkEnd w:id="55"/>
      <w:bookmarkEnd w:id="56"/>
      <w:bookmarkEnd w:id="57"/>
      <w:r w:rsidRPr="00D177A1">
        <w:t xml:space="preserve"> </w:t>
      </w:r>
      <w:bookmarkEnd w:id="58"/>
    </w:p>
    <w:p w:rsidR="00D74BF3" w:rsidRPr="00D91558" w:rsidRDefault="00D74BF3" w:rsidP="00C242C7">
      <w:pPr>
        <w:pStyle w:val="aa"/>
        <w:numPr>
          <w:ilvl w:val="1"/>
          <w:numId w:val="1"/>
        </w:numPr>
        <w:spacing w:before="120" w:after="120"/>
        <w:ind w:left="0" w:firstLine="0"/>
        <w:rPr>
          <w:b/>
        </w:rPr>
      </w:pPr>
      <w:r w:rsidRPr="00D91558">
        <w:rPr>
          <w:b/>
        </w:rPr>
        <w:t>Соответствие масштабов деятельности участника закупочной процедуры сумме закупки (в сравнении с активами, с выручкой)</w:t>
      </w:r>
    </w:p>
    <w:p w:rsidR="00D74BF3" w:rsidRPr="003D53D2" w:rsidRDefault="00D74BF3" w:rsidP="00C242C7">
      <w:pPr>
        <w:spacing w:before="120" w:after="120"/>
        <w:jc w:val="both"/>
      </w:pPr>
      <w:r w:rsidRPr="003D53D2">
        <w:t>Методикой предусмотрен принцип оценки, согласно которому понятие финансовой устойчивости включает в себя планомерное стабильное развитие оцениваемых компаний, исключающих значительные колебания результатов деятельности – выручки и прибыли. Чрезмерное увеличение объема заказов на предлагаемые продукцию или услуги, может привести к дефициту кадровых ресурсов, материально-технических ресурсов и, как следствие, дефициту финансовых ресурсов у участников закупочных процедур, что в свою очередь может негативно повлиять на их финансовую устойчивость. Поэтому для всех участников закупочных процедур, включая компании, имеющие исключительно хорошие финансовые показатели на момент оценки, должен выполняться принцип соответствия текущих масштабов деятельности и планируемой суммы закупки.</w:t>
      </w:r>
    </w:p>
    <w:p w:rsidR="00D74BF3" w:rsidRPr="003D53D2" w:rsidRDefault="00D74BF3" w:rsidP="00C242C7">
      <w:pPr>
        <w:spacing w:before="120" w:after="120"/>
        <w:jc w:val="right"/>
      </w:pPr>
      <w:r w:rsidRPr="003D53D2">
        <w:lastRenderedPageBreak/>
        <w:t>Таблица перевода значений показателей в баллы по шкале от 0 до 1</w:t>
      </w:r>
    </w:p>
    <w:tbl>
      <w:tblPr>
        <w:tblW w:w="9923" w:type="dxa"/>
        <w:tblInd w:w="-5" w:type="dxa"/>
        <w:tblLayout w:type="fixed"/>
        <w:tblLook w:val="04A0" w:firstRow="1" w:lastRow="0" w:firstColumn="1" w:lastColumn="0" w:noHBand="0" w:noVBand="1"/>
      </w:tblPr>
      <w:tblGrid>
        <w:gridCol w:w="2410"/>
        <w:gridCol w:w="851"/>
        <w:gridCol w:w="630"/>
        <w:gridCol w:w="630"/>
        <w:gridCol w:w="630"/>
        <w:gridCol w:w="630"/>
        <w:gridCol w:w="630"/>
        <w:gridCol w:w="630"/>
        <w:gridCol w:w="630"/>
        <w:gridCol w:w="630"/>
        <w:gridCol w:w="630"/>
        <w:gridCol w:w="992"/>
      </w:tblGrid>
      <w:tr w:rsidR="00D74BF3" w:rsidRPr="003D53D2" w:rsidTr="00C242C7">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4BF3" w:rsidRPr="003D53D2" w:rsidRDefault="00D74BF3" w:rsidP="00C242C7">
            <w:pPr>
              <w:rPr>
                <w:color w:val="000000"/>
              </w:rPr>
            </w:pPr>
            <w:r w:rsidRPr="003D53D2">
              <w:rPr>
                <w:color w:val="000000"/>
              </w:rPr>
              <w:t>Оценка</w:t>
            </w:r>
          </w:p>
          <w:p w:rsidR="00D74BF3" w:rsidRPr="003D53D2" w:rsidRDefault="00D74BF3" w:rsidP="00C242C7">
            <w:pPr>
              <w:rPr>
                <w:color w:val="000000"/>
              </w:rPr>
            </w:pPr>
            <w:r w:rsidRPr="003D53D2">
              <w:rPr>
                <w:color w:val="000000"/>
              </w:rPr>
              <w:t>(мин 0 - макс 1)</w:t>
            </w:r>
          </w:p>
        </w:tc>
        <w:tc>
          <w:tcPr>
            <w:tcW w:w="851"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0,0</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0,1</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0,2</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0,3</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0,4</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0,5</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0,6</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0,7</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0,8</w:t>
            </w:r>
          </w:p>
        </w:tc>
        <w:tc>
          <w:tcPr>
            <w:tcW w:w="630"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0,9</w:t>
            </w:r>
          </w:p>
        </w:tc>
        <w:tc>
          <w:tcPr>
            <w:tcW w:w="992" w:type="dxa"/>
            <w:tcBorders>
              <w:top w:val="single" w:sz="4" w:space="0" w:color="auto"/>
              <w:left w:val="nil"/>
              <w:bottom w:val="single" w:sz="4" w:space="0" w:color="auto"/>
              <w:right w:val="single" w:sz="4" w:space="0" w:color="auto"/>
            </w:tcBorders>
            <w:shd w:val="clear" w:color="000000" w:fill="F2F2F2"/>
            <w:noWrap/>
            <w:vAlign w:val="center"/>
          </w:tcPr>
          <w:p w:rsidR="00D74BF3" w:rsidRPr="003D53D2" w:rsidRDefault="00D74BF3" w:rsidP="00C242C7">
            <w:pPr>
              <w:jc w:val="center"/>
              <w:rPr>
                <w:color w:val="000000"/>
              </w:rPr>
            </w:pPr>
            <w:r w:rsidRPr="003D53D2">
              <w:rPr>
                <w:color w:val="000000"/>
              </w:rPr>
              <w:t>1,0</w:t>
            </w:r>
          </w:p>
        </w:tc>
      </w:tr>
      <w:tr w:rsidR="00D74BF3" w:rsidRPr="003D53D2" w:rsidTr="00C242C7">
        <w:trPr>
          <w:trHeight w:val="795"/>
        </w:trPr>
        <w:tc>
          <w:tcPr>
            <w:tcW w:w="2410" w:type="dxa"/>
            <w:tcBorders>
              <w:top w:val="nil"/>
              <w:left w:val="single" w:sz="4" w:space="0" w:color="auto"/>
              <w:bottom w:val="single" w:sz="4" w:space="0" w:color="auto"/>
              <w:right w:val="single" w:sz="4" w:space="0" w:color="auto"/>
            </w:tcBorders>
            <w:shd w:val="clear" w:color="auto" w:fill="auto"/>
            <w:vAlign w:val="center"/>
          </w:tcPr>
          <w:p w:rsidR="00D74BF3" w:rsidRPr="003D53D2" w:rsidRDefault="00D74BF3" w:rsidP="00C242C7">
            <w:pPr>
              <w:rPr>
                <w:color w:val="000000"/>
              </w:rPr>
            </w:pPr>
            <w:r w:rsidRPr="003D53D2">
              <w:rPr>
                <w:color w:val="000000"/>
              </w:rPr>
              <w:t>Сумма закупки / Годовая выручка</w:t>
            </w:r>
          </w:p>
        </w:tc>
        <w:tc>
          <w:tcPr>
            <w:tcW w:w="851" w:type="dxa"/>
            <w:tcBorders>
              <w:top w:val="nil"/>
              <w:left w:val="nil"/>
              <w:bottom w:val="single" w:sz="4" w:space="0" w:color="auto"/>
              <w:right w:val="single" w:sz="4" w:space="0" w:color="auto"/>
            </w:tcBorders>
            <w:shd w:val="clear" w:color="000000" w:fill="FFE5E5"/>
            <w:vAlign w:val="center"/>
          </w:tcPr>
          <w:p w:rsidR="00D74BF3" w:rsidRPr="003D53D2" w:rsidRDefault="00D74BF3" w:rsidP="00C242C7">
            <w:pPr>
              <w:jc w:val="center"/>
              <w:rPr>
                <w:color w:val="000000"/>
              </w:rPr>
            </w:pPr>
            <w:r w:rsidRPr="003D53D2">
              <w:rPr>
                <w:color w:val="000000"/>
              </w:rPr>
              <w:t xml:space="preserve">более </w:t>
            </w:r>
            <w:r w:rsidRPr="003D53D2">
              <w:rPr>
                <w:color w:val="000000"/>
                <w:lang w:val="en-US"/>
              </w:rPr>
              <w:t>1.4</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lang w:val="en-US"/>
              </w:rPr>
              <w:t>1.2</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lang w:val="en-US"/>
              </w:rPr>
              <w:t>1</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lang w:val="en-US"/>
              </w:rPr>
              <w:t>0.8</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lang w:val="en-US"/>
              </w:rPr>
              <w:t>0.6</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lang w:val="en-US"/>
              </w:rPr>
              <w:t>0.46</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lang w:val="en-US"/>
              </w:rPr>
              <w:t>0.33</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0,2</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0,15</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0,1</w:t>
            </w:r>
          </w:p>
        </w:tc>
        <w:tc>
          <w:tcPr>
            <w:tcW w:w="992" w:type="dxa"/>
            <w:tcBorders>
              <w:top w:val="nil"/>
              <w:left w:val="nil"/>
              <w:bottom w:val="single" w:sz="4" w:space="0" w:color="auto"/>
              <w:right w:val="single" w:sz="4" w:space="0" w:color="auto"/>
            </w:tcBorders>
            <w:shd w:val="clear" w:color="000000" w:fill="C6FED1"/>
            <w:vAlign w:val="center"/>
          </w:tcPr>
          <w:p w:rsidR="00D74BF3" w:rsidRPr="003D53D2" w:rsidRDefault="00D74BF3" w:rsidP="00C242C7">
            <w:pPr>
              <w:jc w:val="center"/>
              <w:rPr>
                <w:color w:val="000000"/>
              </w:rPr>
            </w:pPr>
            <w:r w:rsidRPr="003D53D2">
              <w:rPr>
                <w:color w:val="000000"/>
              </w:rPr>
              <w:t xml:space="preserve">менее </w:t>
            </w:r>
            <w:r w:rsidRPr="003D53D2">
              <w:rPr>
                <w:color w:val="000000"/>
                <w:lang w:val="en-US"/>
              </w:rPr>
              <w:t>0.05</w:t>
            </w:r>
          </w:p>
        </w:tc>
      </w:tr>
      <w:tr w:rsidR="00D74BF3" w:rsidRPr="003D53D2" w:rsidTr="00C242C7">
        <w:trPr>
          <w:trHeight w:val="795"/>
        </w:trPr>
        <w:tc>
          <w:tcPr>
            <w:tcW w:w="2410" w:type="dxa"/>
            <w:tcBorders>
              <w:top w:val="nil"/>
              <w:left w:val="single" w:sz="4" w:space="0" w:color="auto"/>
              <w:bottom w:val="single" w:sz="4" w:space="0" w:color="auto"/>
              <w:right w:val="single" w:sz="4" w:space="0" w:color="auto"/>
            </w:tcBorders>
            <w:shd w:val="clear" w:color="auto" w:fill="auto"/>
            <w:vAlign w:val="center"/>
          </w:tcPr>
          <w:p w:rsidR="00D74BF3" w:rsidRPr="003D53D2" w:rsidRDefault="00D74BF3" w:rsidP="00C242C7">
            <w:pPr>
              <w:rPr>
                <w:color w:val="000000"/>
              </w:rPr>
            </w:pPr>
            <w:r w:rsidRPr="003D53D2">
              <w:rPr>
                <w:color w:val="000000"/>
              </w:rPr>
              <w:t>Сумма закупки / Активы</w:t>
            </w:r>
          </w:p>
        </w:tc>
        <w:tc>
          <w:tcPr>
            <w:tcW w:w="851" w:type="dxa"/>
            <w:tcBorders>
              <w:top w:val="nil"/>
              <w:left w:val="nil"/>
              <w:bottom w:val="single" w:sz="4" w:space="0" w:color="auto"/>
              <w:right w:val="single" w:sz="4" w:space="0" w:color="auto"/>
            </w:tcBorders>
            <w:shd w:val="clear" w:color="000000" w:fill="FFE5E5"/>
            <w:vAlign w:val="center"/>
          </w:tcPr>
          <w:p w:rsidR="00D74BF3" w:rsidRPr="003D53D2" w:rsidRDefault="00D74BF3" w:rsidP="00C242C7">
            <w:pPr>
              <w:jc w:val="center"/>
              <w:rPr>
                <w:color w:val="000000"/>
              </w:rPr>
            </w:pPr>
            <w:r w:rsidRPr="003D53D2">
              <w:rPr>
                <w:color w:val="000000"/>
              </w:rPr>
              <w:t xml:space="preserve">более </w:t>
            </w:r>
            <w:r w:rsidRPr="003D53D2">
              <w:rPr>
                <w:color w:val="000000"/>
                <w:lang w:val="en-US"/>
              </w:rPr>
              <w:t>2.8</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lang w:val="en-US"/>
              </w:rPr>
              <w:t>2.4</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lang w:val="en-US"/>
              </w:rPr>
              <w:t>2</w:t>
            </w:r>
          </w:p>
        </w:tc>
        <w:tc>
          <w:tcPr>
            <w:tcW w:w="630" w:type="dxa"/>
            <w:tcBorders>
              <w:top w:val="nil"/>
              <w:left w:val="nil"/>
              <w:bottom w:val="single" w:sz="4" w:space="0" w:color="auto"/>
              <w:right w:val="single" w:sz="4" w:space="0" w:color="auto"/>
            </w:tcBorders>
            <w:shd w:val="clear" w:color="000000" w:fill="FFE5E5"/>
            <w:noWrap/>
            <w:vAlign w:val="center"/>
          </w:tcPr>
          <w:p w:rsidR="00D74BF3" w:rsidRPr="003D53D2" w:rsidRDefault="00D74BF3" w:rsidP="00C242C7">
            <w:pPr>
              <w:jc w:val="center"/>
              <w:rPr>
                <w:color w:val="000000"/>
              </w:rPr>
            </w:pPr>
            <w:r w:rsidRPr="003D53D2">
              <w:rPr>
                <w:color w:val="000000"/>
                <w:lang w:val="en-US"/>
              </w:rPr>
              <w:t>1.6</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lang w:val="en-US"/>
              </w:rPr>
              <w:t>1.2</w:t>
            </w:r>
          </w:p>
        </w:tc>
        <w:tc>
          <w:tcPr>
            <w:tcW w:w="630" w:type="dxa"/>
            <w:tcBorders>
              <w:top w:val="nil"/>
              <w:left w:val="nil"/>
              <w:bottom w:val="single" w:sz="4" w:space="0" w:color="auto"/>
              <w:right w:val="single" w:sz="4" w:space="0" w:color="auto"/>
            </w:tcBorders>
            <w:shd w:val="clear" w:color="000000" w:fill="F8FFB9"/>
            <w:noWrap/>
            <w:vAlign w:val="center"/>
          </w:tcPr>
          <w:p w:rsidR="00D74BF3" w:rsidRPr="003D53D2" w:rsidRDefault="00D74BF3" w:rsidP="00C242C7">
            <w:pPr>
              <w:jc w:val="center"/>
              <w:rPr>
                <w:color w:val="000000"/>
              </w:rPr>
            </w:pPr>
            <w:r w:rsidRPr="003D53D2">
              <w:rPr>
                <w:color w:val="000000"/>
                <w:lang w:val="en-US"/>
              </w:rPr>
              <w:t>0.92</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lang w:val="en-US"/>
              </w:rPr>
              <w:t>0.66</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0,4</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0,3</w:t>
            </w:r>
          </w:p>
        </w:tc>
        <w:tc>
          <w:tcPr>
            <w:tcW w:w="630" w:type="dxa"/>
            <w:tcBorders>
              <w:top w:val="nil"/>
              <w:left w:val="nil"/>
              <w:bottom w:val="single" w:sz="4" w:space="0" w:color="auto"/>
              <w:right w:val="single" w:sz="4" w:space="0" w:color="auto"/>
            </w:tcBorders>
            <w:shd w:val="clear" w:color="000000" w:fill="C6FED1"/>
            <w:noWrap/>
            <w:vAlign w:val="center"/>
          </w:tcPr>
          <w:p w:rsidR="00D74BF3" w:rsidRPr="003D53D2" w:rsidRDefault="00D74BF3" w:rsidP="00C242C7">
            <w:pPr>
              <w:jc w:val="center"/>
              <w:rPr>
                <w:color w:val="000000"/>
              </w:rPr>
            </w:pPr>
            <w:r w:rsidRPr="003D53D2">
              <w:rPr>
                <w:color w:val="000000"/>
              </w:rPr>
              <w:t>0,2</w:t>
            </w:r>
          </w:p>
        </w:tc>
        <w:tc>
          <w:tcPr>
            <w:tcW w:w="992" w:type="dxa"/>
            <w:tcBorders>
              <w:top w:val="nil"/>
              <w:left w:val="nil"/>
              <w:bottom w:val="single" w:sz="4" w:space="0" w:color="auto"/>
              <w:right w:val="single" w:sz="4" w:space="0" w:color="auto"/>
            </w:tcBorders>
            <w:shd w:val="clear" w:color="000000" w:fill="C6FED1"/>
            <w:vAlign w:val="center"/>
          </w:tcPr>
          <w:p w:rsidR="00D74BF3" w:rsidRPr="003D53D2" w:rsidRDefault="00D74BF3" w:rsidP="00C242C7">
            <w:pPr>
              <w:jc w:val="center"/>
              <w:rPr>
                <w:color w:val="000000"/>
              </w:rPr>
            </w:pPr>
            <w:r w:rsidRPr="003D53D2">
              <w:rPr>
                <w:color w:val="000000"/>
              </w:rPr>
              <w:t xml:space="preserve">менее </w:t>
            </w:r>
            <w:r w:rsidRPr="003D53D2">
              <w:rPr>
                <w:color w:val="000000"/>
                <w:lang w:val="en-US"/>
              </w:rPr>
              <w:t>0.1</w:t>
            </w:r>
          </w:p>
        </w:tc>
      </w:tr>
    </w:tbl>
    <w:p w:rsidR="00D74BF3" w:rsidRPr="003D53D2" w:rsidRDefault="00D74BF3" w:rsidP="00C242C7">
      <w:pPr>
        <w:pStyle w:val="aa"/>
        <w:numPr>
          <w:ilvl w:val="1"/>
          <w:numId w:val="1"/>
        </w:numPr>
        <w:spacing w:before="120" w:after="120"/>
        <w:ind w:left="0" w:firstLine="0"/>
        <w:rPr>
          <w:b/>
        </w:rPr>
      </w:pPr>
      <w:r w:rsidRPr="003D53D2">
        <w:rPr>
          <w:b/>
        </w:rPr>
        <w:t>Оценка соответствия участника минимальным качественным требованиям в рамках финансово-экономической экспертизы</w:t>
      </w:r>
    </w:p>
    <w:p w:rsidR="00D74BF3" w:rsidRPr="003D53D2" w:rsidRDefault="00D74BF3" w:rsidP="00C242C7">
      <w:pPr>
        <w:jc w:val="both"/>
      </w:pPr>
      <w:r w:rsidRPr="003D53D2">
        <w:t>Помимо обязательной справки о перечне и объемах выполнения аналогичных договоров, предоставляемой участниками, составить представление о наличии / отсутствии релевантного опыта можно на основании косвенных признаков. Такую задачу в рамках финансово-экономической экспертизы решает оценка участников закупочной процедуры на предмет соответствия минимальным качественным требованиям. Когда компания имеет продолжительную историю существования, достаточную численность персонала и при этом ее основной вид деятельности соответствует предмету закупки, в таком случае делается вывод о ее потенциальной способности осуществить необходимую поставку или оказать услугу.</w:t>
      </w:r>
    </w:p>
    <w:p w:rsidR="00D74BF3" w:rsidRPr="003D53D2" w:rsidRDefault="00D74BF3" w:rsidP="00C242C7">
      <w:pPr>
        <w:jc w:val="both"/>
      </w:pPr>
      <w:r w:rsidRPr="003D53D2">
        <w:t>Будучи формализована в численном выражении оценка по критерию «срок существования компании» участвует в формировании итоговой оценки по направлению финансово-экономической экспертизы. Являясь предметом других видов экспертизы, в частности юридической и технической экспертизы, оценки по критериям «соответствие основного вида деятельности (ОКВЭД)», «численность персонала», «соответствие региона ведения деятельности» напрямую не участвуют в формировании итоговой оценки по направлению финансово-экономической экспертизы.</w:t>
      </w:r>
    </w:p>
    <w:p w:rsidR="00D74BF3" w:rsidRPr="003D53D2" w:rsidRDefault="00D74BF3" w:rsidP="00C242C7">
      <w:pPr>
        <w:spacing w:before="120" w:after="120"/>
        <w:jc w:val="right"/>
      </w:pPr>
      <w:r w:rsidRPr="003D53D2">
        <w:t>Таблица перевода показателей в баллы по шкале от 0 до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567"/>
        <w:gridCol w:w="567"/>
        <w:gridCol w:w="567"/>
        <w:gridCol w:w="567"/>
        <w:gridCol w:w="614"/>
        <w:gridCol w:w="614"/>
        <w:gridCol w:w="614"/>
        <w:gridCol w:w="780"/>
        <w:gridCol w:w="780"/>
        <w:gridCol w:w="850"/>
      </w:tblGrid>
      <w:tr w:rsidR="00D74BF3" w:rsidRPr="003D53D2" w:rsidTr="00C242C7">
        <w:trPr>
          <w:trHeight w:val="300"/>
        </w:trPr>
        <w:tc>
          <w:tcPr>
            <w:tcW w:w="2410" w:type="dxa"/>
            <w:shd w:val="clear" w:color="000000" w:fill="F2F2F2"/>
            <w:noWrap/>
            <w:vAlign w:val="bottom"/>
          </w:tcPr>
          <w:p w:rsidR="00D74BF3" w:rsidRPr="003D53D2" w:rsidRDefault="00D74BF3" w:rsidP="00C242C7">
            <w:pPr>
              <w:rPr>
                <w:color w:val="000000"/>
              </w:rPr>
            </w:pPr>
            <w:r w:rsidRPr="003D53D2">
              <w:rPr>
                <w:color w:val="000000"/>
              </w:rPr>
              <w:t>Оценка</w:t>
            </w:r>
          </w:p>
          <w:p w:rsidR="00D74BF3" w:rsidRPr="003D53D2" w:rsidRDefault="00D74BF3" w:rsidP="00C242C7">
            <w:pPr>
              <w:rPr>
                <w:color w:val="000000"/>
              </w:rPr>
            </w:pPr>
            <w:r w:rsidRPr="003D53D2">
              <w:rPr>
                <w:color w:val="000000"/>
              </w:rPr>
              <w:t>(мин 0 - макс 1)</w:t>
            </w:r>
          </w:p>
        </w:tc>
        <w:tc>
          <w:tcPr>
            <w:tcW w:w="851" w:type="dxa"/>
            <w:shd w:val="clear" w:color="000000" w:fill="F2F2F2"/>
            <w:noWrap/>
            <w:vAlign w:val="center"/>
          </w:tcPr>
          <w:p w:rsidR="00D74BF3" w:rsidRPr="003D53D2" w:rsidRDefault="00D74BF3" w:rsidP="00C242C7">
            <w:pPr>
              <w:jc w:val="center"/>
              <w:rPr>
                <w:color w:val="000000"/>
              </w:rPr>
            </w:pPr>
            <w:r w:rsidRPr="003D53D2">
              <w:rPr>
                <w:color w:val="000000"/>
              </w:rPr>
              <w:t>0,0</w:t>
            </w:r>
          </w:p>
        </w:tc>
        <w:tc>
          <w:tcPr>
            <w:tcW w:w="567" w:type="dxa"/>
            <w:shd w:val="clear" w:color="000000" w:fill="F2F2F2"/>
            <w:noWrap/>
            <w:vAlign w:val="center"/>
          </w:tcPr>
          <w:p w:rsidR="00D74BF3" w:rsidRPr="003D53D2" w:rsidRDefault="00D74BF3" w:rsidP="00C242C7">
            <w:pPr>
              <w:jc w:val="center"/>
              <w:rPr>
                <w:color w:val="000000"/>
              </w:rPr>
            </w:pPr>
            <w:r w:rsidRPr="003D53D2">
              <w:rPr>
                <w:color w:val="000000"/>
              </w:rPr>
              <w:t>0,1</w:t>
            </w:r>
          </w:p>
        </w:tc>
        <w:tc>
          <w:tcPr>
            <w:tcW w:w="567" w:type="dxa"/>
            <w:shd w:val="clear" w:color="000000" w:fill="F2F2F2"/>
            <w:noWrap/>
            <w:vAlign w:val="center"/>
          </w:tcPr>
          <w:p w:rsidR="00D74BF3" w:rsidRPr="003D53D2" w:rsidRDefault="00D74BF3" w:rsidP="00C242C7">
            <w:pPr>
              <w:jc w:val="center"/>
              <w:rPr>
                <w:color w:val="000000"/>
              </w:rPr>
            </w:pPr>
            <w:r w:rsidRPr="003D53D2">
              <w:rPr>
                <w:color w:val="000000"/>
              </w:rPr>
              <w:t>0,2</w:t>
            </w:r>
          </w:p>
        </w:tc>
        <w:tc>
          <w:tcPr>
            <w:tcW w:w="567" w:type="dxa"/>
            <w:shd w:val="clear" w:color="000000" w:fill="F2F2F2"/>
            <w:noWrap/>
            <w:vAlign w:val="center"/>
          </w:tcPr>
          <w:p w:rsidR="00D74BF3" w:rsidRPr="003D53D2" w:rsidRDefault="00D74BF3" w:rsidP="00C242C7">
            <w:pPr>
              <w:jc w:val="center"/>
              <w:rPr>
                <w:color w:val="000000"/>
              </w:rPr>
            </w:pPr>
            <w:r w:rsidRPr="003D53D2">
              <w:rPr>
                <w:color w:val="000000"/>
              </w:rPr>
              <w:t>0,3</w:t>
            </w:r>
          </w:p>
        </w:tc>
        <w:tc>
          <w:tcPr>
            <w:tcW w:w="567" w:type="dxa"/>
            <w:shd w:val="clear" w:color="000000" w:fill="F2F2F2"/>
            <w:noWrap/>
            <w:vAlign w:val="center"/>
          </w:tcPr>
          <w:p w:rsidR="00D74BF3" w:rsidRPr="003D53D2" w:rsidRDefault="00D74BF3" w:rsidP="00C242C7">
            <w:pPr>
              <w:jc w:val="center"/>
              <w:rPr>
                <w:color w:val="000000"/>
              </w:rPr>
            </w:pPr>
            <w:r w:rsidRPr="003D53D2">
              <w:rPr>
                <w:color w:val="000000"/>
              </w:rPr>
              <w:t>0,4</w:t>
            </w:r>
          </w:p>
        </w:tc>
        <w:tc>
          <w:tcPr>
            <w:tcW w:w="614" w:type="dxa"/>
            <w:shd w:val="clear" w:color="000000" w:fill="F2F2F2"/>
            <w:noWrap/>
            <w:vAlign w:val="center"/>
          </w:tcPr>
          <w:p w:rsidR="00D74BF3" w:rsidRPr="003D53D2" w:rsidRDefault="00D74BF3" w:rsidP="00C242C7">
            <w:pPr>
              <w:jc w:val="center"/>
              <w:rPr>
                <w:color w:val="000000"/>
              </w:rPr>
            </w:pPr>
            <w:r w:rsidRPr="003D53D2">
              <w:rPr>
                <w:color w:val="000000"/>
              </w:rPr>
              <w:t>0,5</w:t>
            </w:r>
          </w:p>
        </w:tc>
        <w:tc>
          <w:tcPr>
            <w:tcW w:w="614" w:type="dxa"/>
            <w:shd w:val="clear" w:color="000000" w:fill="F2F2F2"/>
            <w:noWrap/>
            <w:vAlign w:val="center"/>
          </w:tcPr>
          <w:p w:rsidR="00D74BF3" w:rsidRPr="003D53D2" w:rsidRDefault="00D74BF3" w:rsidP="00C242C7">
            <w:pPr>
              <w:jc w:val="center"/>
              <w:rPr>
                <w:color w:val="000000"/>
              </w:rPr>
            </w:pPr>
            <w:r w:rsidRPr="003D53D2">
              <w:rPr>
                <w:color w:val="000000"/>
              </w:rPr>
              <w:t>0,6</w:t>
            </w:r>
          </w:p>
        </w:tc>
        <w:tc>
          <w:tcPr>
            <w:tcW w:w="614" w:type="dxa"/>
            <w:shd w:val="clear" w:color="000000" w:fill="F2F2F2"/>
            <w:noWrap/>
            <w:vAlign w:val="center"/>
          </w:tcPr>
          <w:p w:rsidR="00D74BF3" w:rsidRPr="003D53D2" w:rsidRDefault="00D74BF3" w:rsidP="00C242C7">
            <w:pPr>
              <w:jc w:val="center"/>
              <w:rPr>
                <w:color w:val="000000"/>
              </w:rPr>
            </w:pPr>
            <w:r w:rsidRPr="003D53D2">
              <w:rPr>
                <w:color w:val="000000"/>
              </w:rPr>
              <w:t>0,7</w:t>
            </w:r>
          </w:p>
        </w:tc>
        <w:tc>
          <w:tcPr>
            <w:tcW w:w="780" w:type="dxa"/>
            <w:shd w:val="clear" w:color="000000" w:fill="F2F2F2"/>
            <w:noWrap/>
            <w:vAlign w:val="center"/>
          </w:tcPr>
          <w:p w:rsidR="00D74BF3" w:rsidRPr="003D53D2" w:rsidRDefault="00D74BF3" w:rsidP="00C242C7">
            <w:pPr>
              <w:jc w:val="center"/>
              <w:rPr>
                <w:color w:val="000000"/>
              </w:rPr>
            </w:pPr>
            <w:r w:rsidRPr="003D53D2">
              <w:rPr>
                <w:color w:val="000000"/>
              </w:rPr>
              <w:t>0,8</w:t>
            </w:r>
          </w:p>
        </w:tc>
        <w:tc>
          <w:tcPr>
            <w:tcW w:w="780" w:type="dxa"/>
            <w:shd w:val="clear" w:color="000000" w:fill="F2F2F2"/>
            <w:noWrap/>
            <w:vAlign w:val="center"/>
          </w:tcPr>
          <w:p w:rsidR="00D74BF3" w:rsidRPr="003D53D2" w:rsidRDefault="00D74BF3" w:rsidP="00C242C7">
            <w:pPr>
              <w:jc w:val="center"/>
              <w:rPr>
                <w:color w:val="000000"/>
              </w:rPr>
            </w:pPr>
            <w:r w:rsidRPr="003D53D2">
              <w:rPr>
                <w:color w:val="000000"/>
              </w:rPr>
              <w:t>0,9</w:t>
            </w:r>
          </w:p>
        </w:tc>
        <w:tc>
          <w:tcPr>
            <w:tcW w:w="850" w:type="dxa"/>
            <w:shd w:val="clear" w:color="000000" w:fill="F2F2F2"/>
            <w:noWrap/>
            <w:vAlign w:val="center"/>
          </w:tcPr>
          <w:p w:rsidR="00D74BF3" w:rsidRPr="003D53D2" w:rsidRDefault="00D74BF3" w:rsidP="00C242C7">
            <w:pPr>
              <w:jc w:val="center"/>
              <w:rPr>
                <w:color w:val="000000"/>
              </w:rPr>
            </w:pPr>
            <w:r w:rsidRPr="003D53D2">
              <w:rPr>
                <w:color w:val="000000"/>
              </w:rPr>
              <w:t>1,0</w:t>
            </w:r>
          </w:p>
        </w:tc>
      </w:tr>
      <w:tr w:rsidR="00D74BF3" w:rsidRPr="003D53D2" w:rsidTr="00C242C7">
        <w:trPr>
          <w:trHeight w:val="600"/>
        </w:trPr>
        <w:tc>
          <w:tcPr>
            <w:tcW w:w="2410" w:type="dxa"/>
            <w:shd w:val="clear" w:color="auto" w:fill="auto"/>
          </w:tcPr>
          <w:p w:rsidR="00D74BF3" w:rsidRPr="003D53D2" w:rsidRDefault="00D74BF3" w:rsidP="00C242C7">
            <w:pPr>
              <w:rPr>
                <w:color w:val="000000"/>
              </w:rPr>
            </w:pPr>
            <w:r w:rsidRPr="003D53D2">
              <w:rPr>
                <w:color w:val="000000"/>
              </w:rPr>
              <w:t>срок существования компании, лет</w:t>
            </w:r>
          </w:p>
        </w:tc>
        <w:tc>
          <w:tcPr>
            <w:tcW w:w="851" w:type="dxa"/>
            <w:shd w:val="clear" w:color="000000" w:fill="FFE5E5"/>
            <w:vAlign w:val="center"/>
          </w:tcPr>
          <w:p w:rsidR="00D74BF3" w:rsidRPr="003D53D2" w:rsidRDefault="00D74BF3" w:rsidP="00C242C7">
            <w:pPr>
              <w:jc w:val="center"/>
              <w:rPr>
                <w:color w:val="000000"/>
              </w:rPr>
            </w:pPr>
            <w:r w:rsidRPr="003D53D2">
              <w:rPr>
                <w:color w:val="000000"/>
              </w:rPr>
              <w:t>менее 1 года</w:t>
            </w:r>
          </w:p>
        </w:tc>
        <w:tc>
          <w:tcPr>
            <w:tcW w:w="567" w:type="dxa"/>
            <w:shd w:val="clear" w:color="000000" w:fill="FFE5E5"/>
            <w:noWrap/>
            <w:vAlign w:val="center"/>
          </w:tcPr>
          <w:p w:rsidR="00D74BF3" w:rsidRPr="003D53D2" w:rsidRDefault="00D74BF3" w:rsidP="00C242C7">
            <w:pPr>
              <w:jc w:val="center"/>
              <w:rPr>
                <w:color w:val="000000"/>
              </w:rPr>
            </w:pPr>
            <w:r w:rsidRPr="003D53D2">
              <w:rPr>
                <w:color w:val="000000"/>
              </w:rPr>
              <w:t>1,4</w:t>
            </w:r>
          </w:p>
        </w:tc>
        <w:tc>
          <w:tcPr>
            <w:tcW w:w="567" w:type="dxa"/>
            <w:shd w:val="clear" w:color="000000" w:fill="FFE5E5"/>
            <w:noWrap/>
            <w:vAlign w:val="center"/>
          </w:tcPr>
          <w:p w:rsidR="00D74BF3" w:rsidRPr="003D53D2" w:rsidRDefault="00D74BF3" w:rsidP="00C242C7">
            <w:pPr>
              <w:jc w:val="center"/>
              <w:rPr>
                <w:color w:val="000000"/>
              </w:rPr>
            </w:pPr>
            <w:r w:rsidRPr="003D53D2">
              <w:rPr>
                <w:color w:val="000000"/>
              </w:rPr>
              <w:t>1,8</w:t>
            </w:r>
          </w:p>
        </w:tc>
        <w:tc>
          <w:tcPr>
            <w:tcW w:w="567" w:type="dxa"/>
            <w:shd w:val="clear" w:color="000000" w:fill="FFE5E5"/>
            <w:noWrap/>
            <w:vAlign w:val="center"/>
          </w:tcPr>
          <w:p w:rsidR="00D74BF3" w:rsidRPr="003D53D2" w:rsidRDefault="00D74BF3" w:rsidP="00C242C7">
            <w:pPr>
              <w:jc w:val="center"/>
              <w:rPr>
                <w:color w:val="000000"/>
              </w:rPr>
            </w:pPr>
            <w:r w:rsidRPr="003D53D2">
              <w:rPr>
                <w:color w:val="000000"/>
              </w:rPr>
              <w:t>2,2</w:t>
            </w:r>
          </w:p>
        </w:tc>
        <w:tc>
          <w:tcPr>
            <w:tcW w:w="567" w:type="dxa"/>
            <w:shd w:val="clear" w:color="000000" w:fill="F8FFB9"/>
            <w:noWrap/>
            <w:vAlign w:val="center"/>
          </w:tcPr>
          <w:p w:rsidR="00D74BF3" w:rsidRPr="003D53D2" w:rsidRDefault="00D74BF3" w:rsidP="00C242C7">
            <w:pPr>
              <w:jc w:val="center"/>
              <w:rPr>
                <w:color w:val="000000"/>
              </w:rPr>
            </w:pPr>
            <w:r w:rsidRPr="003D53D2">
              <w:rPr>
                <w:color w:val="000000"/>
              </w:rPr>
              <w:t>2,6</w:t>
            </w:r>
          </w:p>
        </w:tc>
        <w:tc>
          <w:tcPr>
            <w:tcW w:w="614" w:type="dxa"/>
            <w:shd w:val="clear" w:color="000000" w:fill="F8FFB9"/>
            <w:noWrap/>
            <w:vAlign w:val="center"/>
          </w:tcPr>
          <w:p w:rsidR="00D74BF3" w:rsidRPr="003D53D2" w:rsidRDefault="00D74BF3" w:rsidP="00C242C7">
            <w:pPr>
              <w:jc w:val="center"/>
              <w:rPr>
                <w:color w:val="000000"/>
              </w:rPr>
            </w:pPr>
            <w:r w:rsidRPr="003D53D2">
              <w:rPr>
                <w:color w:val="000000"/>
              </w:rPr>
              <w:t>3</w:t>
            </w:r>
          </w:p>
        </w:tc>
        <w:tc>
          <w:tcPr>
            <w:tcW w:w="614" w:type="dxa"/>
            <w:shd w:val="clear" w:color="000000" w:fill="C6FED1"/>
            <w:noWrap/>
            <w:vAlign w:val="center"/>
          </w:tcPr>
          <w:p w:rsidR="00D74BF3" w:rsidRPr="003D53D2" w:rsidRDefault="00D74BF3" w:rsidP="00C242C7">
            <w:pPr>
              <w:jc w:val="center"/>
              <w:rPr>
                <w:color w:val="000000"/>
              </w:rPr>
            </w:pPr>
            <w:r w:rsidRPr="003D53D2">
              <w:rPr>
                <w:color w:val="000000"/>
              </w:rPr>
              <w:t>4,4</w:t>
            </w:r>
          </w:p>
        </w:tc>
        <w:tc>
          <w:tcPr>
            <w:tcW w:w="614" w:type="dxa"/>
            <w:shd w:val="clear" w:color="000000" w:fill="C6FED1"/>
            <w:noWrap/>
            <w:vAlign w:val="center"/>
          </w:tcPr>
          <w:p w:rsidR="00D74BF3" w:rsidRPr="003D53D2" w:rsidRDefault="00D74BF3" w:rsidP="00C242C7">
            <w:pPr>
              <w:jc w:val="center"/>
              <w:rPr>
                <w:color w:val="000000"/>
              </w:rPr>
            </w:pPr>
            <w:r w:rsidRPr="003D53D2">
              <w:rPr>
                <w:color w:val="000000"/>
              </w:rPr>
              <w:t>5,8</w:t>
            </w:r>
          </w:p>
        </w:tc>
        <w:tc>
          <w:tcPr>
            <w:tcW w:w="780" w:type="dxa"/>
            <w:shd w:val="clear" w:color="000000" w:fill="C6FED1"/>
            <w:noWrap/>
            <w:vAlign w:val="center"/>
          </w:tcPr>
          <w:p w:rsidR="00D74BF3" w:rsidRPr="003D53D2" w:rsidRDefault="00D74BF3" w:rsidP="00C242C7">
            <w:pPr>
              <w:jc w:val="center"/>
              <w:rPr>
                <w:color w:val="000000"/>
              </w:rPr>
            </w:pPr>
            <w:r w:rsidRPr="003D53D2">
              <w:rPr>
                <w:color w:val="000000"/>
              </w:rPr>
              <w:t>7,2</w:t>
            </w:r>
          </w:p>
        </w:tc>
        <w:tc>
          <w:tcPr>
            <w:tcW w:w="780" w:type="dxa"/>
            <w:shd w:val="clear" w:color="000000" w:fill="C6FED1"/>
            <w:noWrap/>
            <w:vAlign w:val="center"/>
          </w:tcPr>
          <w:p w:rsidR="00D74BF3" w:rsidRPr="003D53D2" w:rsidRDefault="00D74BF3" w:rsidP="00C242C7">
            <w:pPr>
              <w:jc w:val="center"/>
              <w:rPr>
                <w:color w:val="000000"/>
              </w:rPr>
            </w:pPr>
            <w:r w:rsidRPr="003D53D2">
              <w:rPr>
                <w:color w:val="000000"/>
              </w:rPr>
              <w:t>8,6</w:t>
            </w:r>
          </w:p>
        </w:tc>
        <w:tc>
          <w:tcPr>
            <w:tcW w:w="850" w:type="dxa"/>
            <w:shd w:val="clear" w:color="000000" w:fill="C6FED1"/>
            <w:vAlign w:val="center"/>
          </w:tcPr>
          <w:p w:rsidR="00D74BF3" w:rsidRPr="003D53D2" w:rsidRDefault="00D74BF3" w:rsidP="00C242C7">
            <w:pPr>
              <w:jc w:val="center"/>
              <w:rPr>
                <w:color w:val="000000"/>
              </w:rPr>
            </w:pPr>
            <w:r w:rsidRPr="003D53D2">
              <w:rPr>
                <w:color w:val="000000"/>
              </w:rPr>
              <w:t>более 10 лет</w:t>
            </w:r>
          </w:p>
        </w:tc>
      </w:tr>
    </w:tbl>
    <w:p w:rsidR="00D74BF3" w:rsidRPr="003D53D2" w:rsidRDefault="00D74BF3" w:rsidP="00C242C7">
      <w:pPr>
        <w:pStyle w:val="aa"/>
        <w:numPr>
          <w:ilvl w:val="1"/>
          <w:numId w:val="1"/>
        </w:numPr>
        <w:spacing w:before="120" w:after="120"/>
        <w:ind w:left="0" w:firstLine="0"/>
        <w:rPr>
          <w:b/>
        </w:rPr>
      </w:pPr>
      <w:r w:rsidRPr="003D53D2">
        <w:rPr>
          <w:b/>
        </w:rPr>
        <w:t>Финансовые условия сделки</w:t>
      </w:r>
    </w:p>
    <w:p w:rsidR="00D74BF3" w:rsidRPr="003D53D2" w:rsidRDefault="00D74BF3" w:rsidP="00C242C7">
      <w:pPr>
        <w:jc w:val="both"/>
      </w:pPr>
      <w:r w:rsidRPr="003D53D2">
        <w:t>В рамках реализации одной из основных целей финансово-экономической экспертизы по оценке и ограничению кредитного риска финансовые условия сделки, предлагаемые участниками закупочных процедур, являются наиболее весомыми. При отсутствии предоплаты кредитные риски минимальны. При прочих равных условиях выплата аванса без покрытия банковской гарантии соответствует наибольшему риску.</w:t>
      </w:r>
    </w:p>
    <w:p w:rsidR="00D74BF3" w:rsidRPr="003D53D2" w:rsidRDefault="00D74BF3" w:rsidP="00C242C7">
      <w:pPr>
        <w:jc w:val="both"/>
      </w:pPr>
      <w:r w:rsidRPr="003D53D2">
        <w:t>Оценка по критерию «финансовые условия сделки» осуществляется с учетом соотношения величины планируемого аванса с активами и годовой выручкой оцениваемой компании. Чем меньше величина аванса в масштабах деятельности оцениваемой компании, тем меньшее влияние факт наличия предоплаты оказывает на итоговую оценку кредитного риска; оценка в таком случае приближается к единице - максимально возможной оценке по данному частному критерию.</w:t>
      </w:r>
    </w:p>
    <w:p w:rsidR="00D74BF3" w:rsidRPr="003D53D2" w:rsidRDefault="00E41B54" w:rsidP="00C242C7">
      <w:pPr>
        <w:jc w:val="both"/>
      </w:pPr>
      <w:r w:rsidRPr="00E41B54">
        <w:t xml:space="preserve">В тех случаях, когда отдельными внутренними нормативными документами Общества устанавливаются ограничения на принимаемые банковские гарантии в части указания перечня </w:t>
      </w:r>
      <w:r w:rsidRPr="00E41B54">
        <w:lastRenderedPageBreak/>
        <w:t>банков, суммы и сроков гарантий, эксперт по направлению финансово-экономической экспертизы проводит оценку соответствия предлагаемой банковской гарантии требованиям указанного внутреннего нормативного документа. А в случае отсутствия на этапе закупочной процедуры информации по банковской гарантии, дает рекомендации по соблюдению требований соответствующего внутреннего нормативного документа.</w:t>
      </w:r>
    </w:p>
    <w:p w:rsidR="00D74BF3" w:rsidRPr="003D53D2" w:rsidRDefault="00D74BF3" w:rsidP="00C242C7">
      <w:pPr>
        <w:spacing w:before="120"/>
        <w:jc w:val="right"/>
      </w:pPr>
      <w:r w:rsidRPr="003D53D2">
        <w:t>Таблица Оценка финансовых условий сделки</w:t>
      </w:r>
    </w:p>
    <w:tbl>
      <w:tblPr>
        <w:tblW w:w="9923" w:type="dxa"/>
        <w:tblInd w:w="-10" w:type="dxa"/>
        <w:tblLook w:val="04A0" w:firstRow="1" w:lastRow="0" w:firstColumn="1" w:lastColumn="0" w:noHBand="0" w:noVBand="1"/>
      </w:tblPr>
      <w:tblGrid>
        <w:gridCol w:w="2020"/>
        <w:gridCol w:w="851"/>
        <w:gridCol w:w="636"/>
        <w:gridCol w:w="636"/>
        <w:gridCol w:w="636"/>
        <w:gridCol w:w="636"/>
        <w:gridCol w:w="636"/>
        <w:gridCol w:w="688"/>
        <w:gridCol w:w="636"/>
        <w:gridCol w:w="705"/>
        <w:gridCol w:w="816"/>
        <w:gridCol w:w="1027"/>
      </w:tblGrid>
      <w:tr w:rsidR="00D74BF3" w:rsidRPr="003D53D2" w:rsidTr="00C242C7">
        <w:trPr>
          <w:trHeight w:val="615"/>
        </w:trPr>
        <w:tc>
          <w:tcPr>
            <w:tcW w:w="20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D74BF3" w:rsidRPr="003D53D2" w:rsidRDefault="00D74BF3" w:rsidP="00C242C7">
            <w:pPr>
              <w:rPr>
                <w:color w:val="000000"/>
              </w:rPr>
            </w:pPr>
            <w:r w:rsidRPr="003D53D2">
              <w:rPr>
                <w:color w:val="000000"/>
              </w:rPr>
              <w:t>Оценка при отсутствии аванса</w:t>
            </w:r>
          </w:p>
        </w:tc>
        <w:tc>
          <w:tcPr>
            <w:tcW w:w="7903" w:type="dxa"/>
            <w:gridSpan w:val="11"/>
            <w:tcBorders>
              <w:top w:val="single" w:sz="8" w:space="0" w:color="auto"/>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1</w:t>
            </w:r>
          </w:p>
        </w:tc>
      </w:tr>
      <w:tr w:rsidR="00D74BF3" w:rsidRPr="003D53D2" w:rsidTr="00C242C7">
        <w:trPr>
          <w:trHeight w:val="915"/>
        </w:trPr>
        <w:tc>
          <w:tcPr>
            <w:tcW w:w="2020" w:type="dxa"/>
            <w:tcBorders>
              <w:top w:val="nil"/>
              <w:left w:val="single" w:sz="8" w:space="0" w:color="auto"/>
              <w:bottom w:val="single" w:sz="8" w:space="0" w:color="auto"/>
              <w:right w:val="single" w:sz="8" w:space="0" w:color="auto"/>
            </w:tcBorders>
            <w:shd w:val="clear" w:color="000000" w:fill="F2F2F2"/>
            <w:vAlign w:val="center"/>
            <w:hideMark/>
          </w:tcPr>
          <w:p w:rsidR="00D74BF3" w:rsidRPr="003D53D2" w:rsidRDefault="00D74BF3" w:rsidP="00C242C7">
            <w:pPr>
              <w:rPr>
                <w:color w:val="000000"/>
              </w:rPr>
            </w:pPr>
            <w:r w:rsidRPr="003D53D2">
              <w:rPr>
                <w:color w:val="000000"/>
              </w:rPr>
              <w:t>Оценка при полном покрытии аванса банковской гарантией</w:t>
            </w:r>
          </w:p>
        </w:tc>
        <w:tc>
          <w:tcPr>
            <w:tcW w:w="851"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0,4</w:t>
            </w:r>
          </w:p>
        </w:tc>
        <w:tc>
          <w:tcPr>
            <w:tcW w:w="636"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0,46</w:t>
            </w:r>
          </w:p>
        </w:tc>
        <w:tc>
          <w:tcPr>
            <w:tcW w:w="636"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0,52</w:t>
            </w:r>
          </w:p>
        </w:tc>
        <w:tc>
          <w:tcPr>
            <w:tcW w:w="636"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0,58</w:t>
            </w:r>
          </w:p>
        </w:tc>
        <w:tc>
          <w:tcPr>
            <w:tcW w:w="636"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0,64</w:t>
            </w:r>
          </w:p>
        </w:tc>
        <w:tc>
          <w:tcPr>
            <w:tcW w:w="636"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0,7</w:t>
            </w:r>
          </w:p>
        </w:tc>
        <w:tc>
          <w:tcPr>
            <w:tcW w:w="688"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0,76</w:t>
            </w:r>
          </w:p>
        </w:tc>
        <w:tc>
          <w:tcPr>
            <w:tcW w:w="636"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0,82</w:t>
            </w:r>
          </w:p>
        </w:tc>
        <w:tc>
          <w:tcPr>
            <w:tcW w:w="705"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0,88</w:t>
            </w:r>
          </w:p>
        </w:tc>
        <w:tc>
          <w:tcPr>
            <w:tcW w:w="816"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0,94</w:t>
            </w:r>
          </w:p>
        </w:tc>
        <w:tc>
          <w:tcPr>
            <w:tcW w:w="1027"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1</w:t>
            </w:r>
          </w:p>
        </w:tc>
      </w:tr>
      <w:tr w:rsidR="00D74BF3" w:rsidRPr="003D53D2" w:rsidTr="00C242C7">
        <w:trPr>
          <w:trHeight w:val="915"/>
        </w:trPr>
        <w:tc>
          <w:tcPr>
            <w:tcW w:w="2020" w:type="dxa"/>
            <w:tcBorders>
              <w:top w:val="nil"/>
              <w:left w:val="single" w:sz="8" w:space="0" w:color="auto"/>
              <w:bottom w:val="single" w:sz="8" w:space="0" w:color="auto"/>
              <w:right w:val="single" w:sz="8" w:space="0" w:color="auto"/>
            </w:tcBorders>
            <w:shd w:val="clear" w:color="000000" w:fill="F2F2F2"/>
            <w:vAlign w:val="center"/>
            <w:hideMark/>
          </w:tcPr>
          <w:p w:rsidR="00D74BF3" w:rsidRPr="003D53D2" w:rsidRDefault="00D74BF3" w:rsidP="00C242C7">
            <w:pPr>
              <w:rPr>
                <w:color w:val="000000"/>
              </w:rPr>
            </w:pPr>
            <w:r w:rsidRPr="003D53D2">
              <w:rPr>
                <w:color w:val="000000"/>
              </w:rPr>
              <w:t>Оценка при выплате аванса без покрытия банковской гарантией</w:t>
            </w:r>
          </w:p>
        </w:tc>
        <w:tc>
          <w:tcPr>
            <w:tcW w:w="851" w:type="dxa"/>
            <w:tcBorders>
              <w:top w:val="nil"/>
              <w:left w:val="nil"/>
              <w:bottom w:val="single" w:sz="8" w:space="0" w:color="auto"/>
              <w:right w:val="single" w:sz="8" w:space="0" w:color="auto"/>
            </w:tcBorders>
            <w:shd w:val="clear" w:color="000000" w:fill="FFE5E5"/>
            <w:noWrap/>
            <w:vAlign w:val="center"/>
            <w:hideMark/>
          </w:tcPr>
          <w:p w:rsidR="00D74BF3" w:rsidRPr="003D53D2" w:rsidRDefault="00D74BF3" w:rsidP="00C242C7">
            <w:pPr>
              <w:jc w:val="center"/>
              <w:rPr>
                <w:color w:val="000000"/>
              </w:rPr>
            </w:pPr>
            <w:r w:rsidRPr="003D53D2">
              <w:rPr>
                <w:color w:val="000000"/>
              </w:rPr>
              <w:t>0</w:t>
            </w:r>
          </w:p>
        </w:tc>
        <w:tc>
          <w:tcPr>
            <w:tcW w:w="636" w:type="dxa"/>
            <w:tcBorders>
              <w:top w:val="nil"/>
              <w:left w:val="nil"/>
              <w:bottom w:val="single" w:sz="8" w:space="0" w:color="auto"/>
              <w:right w:val="single" w:sz="8" w:space="0" w:color="auto"/>
            </w:tcBorders>
            <w:shd w:val="clear" w:color="000000" w:fill="FFE5E5"/>
            <w:noWrap/>
            <w:vAlign w:val="center"/>
            <w:hideMark/>
          </w:tcPr>
          <w:p w:rsidR="00D74BF3" w:rsidRPr="003D53D2" w:rsidRDefault="00D74BF3" w:rsidP="00C242C7">
            <w:pPr>
              <w:jc w:val="center"/>
              <w:rPr>
                <w:color w:val="000000"/>
              </w:rPr>
            </w:pPr>
            <w:r w:rsidRPr="003D53D2">
              <w:rPr>
                <w:color w:val="000000"/>
              </w:rPr>
              <w:t>0,07</w:t>
            </w:r>
          </w:p>
        </w:tc>
        <w:tc>
          <w:tcPr>
            <w:tcW w:w="636" w:type="dxa"/>
            <w:tcBorders>
              <w:top w:val="nil"/>
              <w:left w:val="nil"/>
              <w:bottom w:val="single" w:sz="8" w:space="0" w:color="auto"/>
              <w:right w:val="single" w:sz="8" w:space="0" w:color="auto"/>
            </w:tcBorders>
            <w:shd w:val="clear" w:color="000000" w:fill="FFE5E5"/>
            <w:noWrap/>
            <w:vAlign w:val="center"/>
            <w:hideMark/>
          </w:tcPr>
          <w:p w:rsidR="00D74BF3" w:rsidRPr="003D53D2" w:rsidRDefault="00D74BF3" w:rsidP="00C242C7">
            <w:pPr>
              <w:jc w:val="center"/>
              <w:rPr>
                <w:color w:val="000000"/>
              </w:rPr>
            </w:pPr>
            <w:r w:rsidRPr="003D53D2">
              <w:rPr>
                <w:color w:val="000000"/>
              </w:rPr>
              <w:t>0,14</w:t>
            </w:r>
          </w:p>
        </w:tc>
        <w:tc>
          <w:tcPr>
            <w:tcW w:w="636" w:type="dxa"/>
            <w:tcBorders>
              <w:top w:val="nil"/>
              <w:left w:val="nil"/>
              <w:bottom w:val="single" w:sz="8" w:space="0" w:color="auto"/>
              <w:right w:val="single" w:sz="8" w:space="0" w:color="auto"/>
            </w:tcBorders>
            <w:shd w:val="clear" w:color="000000" w:fill="FFE5E5"/>
            <w:noWrap/>
            <w:vAlign w:val="center"/>
            <w:hideMark/>
          </w:tcPr>
          <w:p w:rsidR="00D74BF3" w:rsidRPr="003D53D2" w:rsidRDefault="00D74BF3" w:rsidP="00C242C7">
            <w:pPr>
              <w:jc w:val="center"/>
              <w:rPr>
                <w:color w:val="000000"/>
              </w:rPr>
            </w:pPr>
            <w:r w:rsidRPr="003D53D2">
              <w:rPr>
                <w:color w:val="000000"/>
              </w:rPr>
              <w:t>0,21</w:t>
            </w:r>
          </w:p>
        </w:tc>
        <w:tc>
          <w:tcPr>
            <w:tcW w:w="636" w:type="dxa"/>
            <w:tcBorders>
              <w:top w:val="nil"/>
              <w:left w:val="nil"/>
              <w:bottom w:val="single" w:sz="8" w:space="0" w:color="auto"/>
              <w:right w:val="single" w:sz="8" w:space="0" w:color="auto"/>
            </w:tcBorders>
            <w:shd w:val="clear" w:color="000000" w:fill="FFE5E5"/>
            <w:noWrap/>
            <w:vAlign w:val="center"/>
            <w:hideMark/>
          </w:tcPr>
          <w:p w:rsidR="00D74BF3" w:rsidRPr="003D53D2" w:rsidRDefault="00D74BF3" w:rsidP="00C242C7">
            <w:pPr>
              <w:jc w:val="center"/>
              <w:rPr>
                <w:color w:val="000000"/>
              </w:rPr>
            </w:pPr>
            <w:r w:rsidRPr="003D53D2">
              <w:rPr>
                <w:color w:val="000000"/>
              </w:rPr>
              <w:t>0,28</w:t>
            </w:r>
          </w:p>
        </w:tc>
        <w:tc>
          <w:tcPr>
            <w:tcW w:w="636" w:type="dxa"/>
            <w:tcBorders>
              <w:top w:val="nil"/>
              <w:left w:val="nil"/>
              <w:bottom w:val="single" w:sz="8" w:space="0" w:color="auto"/>
              <w:right w:val="single" w:sz="8" w:space="0" w:color="auto"/>
            </w:tcBorders>
            <w:shd w:val="clear" w:color="000000" w:fill="FFE5E5"/>
            <w:noWrap/>
            <w:vAlign w:val="center"/>
            <w:hideMark/>
          </w:tcPr>
          <w:p w:rsidR="00D74BF3" w:rsidRPr="003D53D2" w:rsidRDefault="00D74BF3" w:rsidP="00C242C7">
            <w:pPr>
              <w:jc w:val="center"/>
              <w:rPr>
                <w:color w:val="000000"/>
              </w:rPr>
            </w:pPr>
            <w:r w:rsidRPr="003D53D2">
              <w:rPr>
                <w:color w:val="000000"/>
              </w:rPr>
              <w:t>0,35</w:t>
            </w:r>
          </w:p>
        </w:tc>
        <w:tc>
          <w:tcPr>
            <w:tcW w:w="688"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0,42</w:t>
            </w:r>
          </w:p>
        </w:tc>
        <w:tc>
          <w:tcPr>
            <w:tcW w:w="636"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0,49</w:t>
            </w:r>
          </w:p>
        </w:tc>
        <w:tc>
          <w:tcPr>
            <w:tcW w:w="705" w:type="dxa"/>
            <w:tcBorders>
              <w:top w:val="nil"/>
              <w:left w:val="nil"/>
              <w:bottom w:val="single" w:sz="8" w:space="0" w:color="auto"/>
              <w:right w:val="single" w:sz="8" w:space="0" w:color="auto"/>
            </w:tcBorders>
            <w:shd w:val="clear" w:color="000000" w:fill="F8FFB9"/>
            <w:noWrap/>
            <w:vAlign w:val="center"/>
            <w:hideMark/>
          </w:tcPr>
          <w:p w:rsidR="00D74BF3" w:rsidRPr="003D53D2" w:rsidRDefault="00D74BF3" w:rsidP="00C242C7">
            <w:pPr>
              <w:jc w:val="center"/>
              <w:rPr>
                <w:color w:val="000000"/>
              </w:rPr>
            </w:pPr>
            <w:r w:rsidRPr="003D53D2">
              <w:rPr>
                <w:color w:val="000000"/>
              </w:rPr>
              <w:t>0,56</w:t>
            </w:r>
          </w:p>
        </w:tc>
        <w:tc>
          <w:tcPr>
            <w:tcW w:w="816"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0,63</w:t>
            </w:r>
          </w:p>
        </w:tc>
        <w:tc>
          <w:tcPr>
            <w:tcW w:w="1027" w:type="dxa"/>
            <w:tcBorders>
              <w:top w:val="nil"/>
              <w:left w:val="nil"/>
              <w:bottom w:val="single" w:sz="8" w:space="0" w:color="auto"/>
              <w:right w:val="single" w:sz="8" w:space="0" w:color="auto"/>
            </w:tcBorders>
            <w:shd w:val="clear" w:color="000000" w:fill="C6FED1"/>
            <w:noWrap/>
            <w:vAlign w:val="center"/>
            <w:hideMark/>
          </w:tcPr>
          <w:p w:rsidR="00D74BF3" w:rsidRPr="003D53D2" w:rsidRDefault="00D74BF3" w:rsidP="00C242C7">
            <w:pPr>
              <w:jc w:val="center"/>
              <w:rPr>
                <w:color w:val="000000"/>
              </w:rPr>
            </w:pPr>
            <w:r w:rsidRPr="003D53D2">
              <w:rPr>
                <w:color w:val="000000"/>
              </w:rPr>
              <w:t>0,7</w:t>
            </w:r>
          </w:p>
        </w:tc>
      </w:tr>
      <w:tr w:rsidR="00D74BF3" w:rsidRPr="003D53D2" w:rsidTr="00C242C7">
        <w:trPr>
          <w:trHeight w:val="52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D74BF3" w:rsidRPr="003D53D2" w:rsidRDefault="00D74BF3" w:rsidP="00C242C7">
            <w:pPr>
              <w:rPr>
                <w:color w:val="000000"/>
              </w:rPr>
            </w:pPr>
            <w:r w:rsidRPr="003D53D2">
              <w:rPr>
                <w:color w:val="000000"/>
              </w:rPr>
              <w:t>Величина аванса / Годовая выручка</w:t>
            </w:r>
          </w:p>
        </w:tc>
        <w:tc>
          <w:tcPr>
            <w:tcW w:w="851" w:type="dxa"/>
            <w:tcBorders>
              <w:top w:val="nil"/>
              <w:left w:val="nil"/>
              <w:bottom w:val="single" w:sz="8" w:space="0" w:color="auto"/>
              <w:right w:val="single" w:sz="8" w:space="0" w:color="auto"/>
            </w:tcBorders>
            <w:shd w:val="clear" w:color="auto" w:fill="auto"/>
            <w:vAlign w:val="center"/>
            <w:hideMark/>
          </w:tcPr>
          <w:p w:rsidR="00D74BF3" w:rsidRPr="003D53D2" w:rsidRDefault="00D74BF3" w:rsidP="00C242C7">
            <w:pPr>
              <w:jc w:val="center"/>
              <w:rPr>
                <w:color w:val="000000"/>
              </w:rPr>
            </w:pPr>
            <w:r w:rsidRPr="003D53D2">
              <w:rPr>
                <w:color w:val="000000"/>
              </w:rPr>
              <w:t>0,7 и более</w:t>
            </w:r>
          </w:p>
        </w:tc>
        <w:tc>
          <w:tcPr>
            <w:tcW w:w="63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0,6</w:t>
            </w:r>
          </w:p>
        </w:tc>
        <w:tc>
          <w:tcPr>
            <w:tcW w:w="63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0,5</w:t>
            </w:r>
          </w:p>
        </w:tc>
        <w:tc>
          <w:tcPr>
            <w:tcW w:w="63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0,4</w:t>
            </w:r>
          </w:p>
        </w:tc>
        <w:tc>
          <w:tcPr>
            <w:tcW w:w="63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0,3</w:t>
            </w:r>
          </w:p>
        </w:tc>
        <w:tc>
          <w:tcPr>
            <w:tcW w:w="63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0,23</w:t>
            </w:r>
          </w:p>
        </w:tc>
        <w:tc>
          <w:tcPr>
            <w:tcW w:w="688"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0,16</w:t>
            </w:r>
          </w:p>
        </w:tc>
        <w:tc>
          <w:tcPr>
            <w:tcW w:w="63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rPr>
              <w:t>0,1</w:t>
            </w:r>
          </w:p>
        </w:tc>
        <w:tc>
          <w:tcPr>
            <w:tcW w:w="705"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rPr>
              <w:t>0,07</w:t>
            </w:r>
          </w:p>
        </w:tc>
        <w:tc>
          <w:tcPr>
            <w:tcW w:w="816" w:type="dxa"/>
            <w:tcBorders>
              <w:top w:val="nil"/>
              <w:left w:val="nil"/>
              <w:bottom w:val="single" w:sz="8" w:space="0" w:color="auto"/>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rPr>
              <w:t>0,05</w:t>
            </w:r>
          </w:p>
        </w:tc>
        <w:tc>
          <w:tcPr>
            <w:tcW w:w="1027" w:type="dxa"/>
            <w:tcBorders>
              <w:top w:val="nil"/>
              <w:left w:val="nil"/>
              <w:bottom w:val="single" w:sz="8" w:space="0" w:color="auto"/>
              <w:right w:val="single" w:sz="8" w:space="0" w:color="auto"/>
            </w:tcBorders>
            <w:shd w:val="clear" w:color="auto" w:fill="auto"/>
            <w:vAlign w:val="center"/>
            <w:hideMark/>
          </w:tcPr>
          <w:p w:rsidR="00D74BF3" w:rsidRPr="003D53D2" w:rsidRDefault="00D74BF3" w:rsidP="00C242C7">
            <w:pPr>
              <w:jc w:val="center"/>
              <w:rPr>
                <w:color w:val="000000"/>
              </w:rPr>
            </w:pPr>
            <w:r w:rsidRPr="003D53D2">
              <w:rPr>
                <w:color w:val="000000"/>
              </w:rPr>
              <w:t>0.025 и менее</w:t>
            </w:r>
          </w:p>
        </w:tc>
      </w:tr>
      <w:tr w:rsidR="00D74BF3" w:rsidRPr="003D53D2" w:rsidTr="00C242C7">
        <w:trPr>
          <w:trHeight w:val="525"/>
        </w:trPr>
        <w:tc>
          <w:tcPr>
            <w:tcW w:w="2020" w:type="dxa"/>
            <w:tcBorders>
              <w:top w:val="nil"/>
              <w:left w:val="single" w:sz="8" w:space="0" w:color="auto"/>
              <w:bottom w:val="nil"/>
              <w:right w:val="single" w:sz="8" w:space="0" w:color="auto"/>
            </w:tcBorders>
            <w:shd w:val="clear" w:color="auto" w:fill="auto"/>
            <w:vAlign w:val="center"/>
            <w:hideMark/>
          </w:tcPr>
          <w:p w:rsidR="00D74BF3" w:rsidRPr="003D53D2" w:rsidRDefault="00D74BF3" w:rsidP="00C242C7">
            <w:pPr>
              <w:rPr>
                <w:color w:val="000000"/>
              </w:rPr>
            </w:pPr>
            <w:r w:rsidRPr="003D53D2">
              <w:rPr>
                <w:color w:val="000000"/>
              </w:rPr>
              <w:t>Величина аванса / Активы</w:t>
            </w:r>
          </w:p>
        </w:tc>
        <w:tc>
          <w:tcPr>
            <w:tcW w:w="851" w:type="dxa"/>
            <w:tcBorders>
              <w:top w:val="nil"/>
              <w:left w:val="nil"/>
              <w:bottom w:val="nil"/>
              <w:right w:val="single" w:sz="8" w:space="0" w:color="auto"/>
            </w:tcBorders>
            <w:shd w:val="clear" w:color="auto" w:fill="auto"/>
            <w:vAlign w:val="center"/>
            <w:hideMark/>
          </w:tcPr>
          <w:p w:rsidR="00D74BF3" w:rsidRPr="003D53D2" w:rsidRDefault="00D74BF3" w:rsidP="00C242C7">
            <w:pPr>
              <w:jc w:val="center"/>
              <w:rPr>
                <w:color w:val="000000"/>
              </w:rPr>
            </w:pPr>
            <w:r w:rsidRPr="003D53D2">
              <w:rPr>
                <w:color w:val="000000"/>
              </w:rPr>
              <w:t>1.4 и более</w:t>
            </w:r>
          </w:p>
        </w:tc>
        <w:tc>
          <w:tcPr>
            <w:tcW w:w="63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1,2</w:t>
            </w:r>
          </w:p>
        </w:tc>
        <w:tc>
          <w:tcPr>
            <w:tcW w:w="63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1</w:t>
            </w:r>
          </w:p>
        </w:tc>
        <w:tc>
          <w:tcPr>
            <w:tcW w:w="63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0,8</w:t>
            </w:r>
          </w:p>
        </w:tc>
        <w:tc>
          <w:tcPr>
            <w:tcW w:w="63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0,6</w:t>
            </w:r>
          </w:p>
        </w:tc>
        <w:tc>
          <w:tcPr>
            <w:tcW w:w="63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0,46</w:t>
            </w:r>
          </w:p>
        </w:tc>
        <w:tc>
          <w:tcPr>
            <w:tcW w:w="688"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lang w:val="en-US"/>
              </w:rPr>
              <w:t>0,33</w:t>
            </w:r>
          </w:p>
        </w:tc>
        <w:tc>
          <w:tcPr>
            <w:tcW w:w="63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rPr>
              <w:t>0,2</w:t>
            </w:r>
          </w:p>
        </w:tc>
        <w:tc>
          <w:tcPr>
            <w:tcW w:w="705"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rPr>
              <w:t>0,15</w:t>
            </w:r>
          </w:p>
        </w:tc>
        <w:tc>
          <w:tcPr>
            <w:tcW w:w="816" w:type="dxa"/>
            <w:tcBorders>
              <w:top w:val="nil"/>
              <w:left w:val="nil"/>
              <w:bottom w:val="nil"/>
              <w:right w:val="single" w:sz="8" w:space="0" w:color="auto"/>
            </w:tcBorders>
            <w:shd w:val="clear" w:color="auto" w:fill="auto"/>
            <w:noWrap/>
            <w:vAlign w:val="center"/>
            <w:hideMark/>
          </w:tcPr>
          <w:p w:rsidR="00D74BF3" w:rsidRPr="003D53D2" w:rsidRDefault="00D74BF3" w:rsidP="00C242C7">
            <w:pPr>
              <w:jc w:val="center"/>
              <w:rPr>
                <w:color w:val="000000"/>
              </w:rPr>
            </w:pPr>
            <w:r w:rsidRPr="003D53D2">
              <w:rPr>
                <w:color w:val="000000"/>
              </w:rPr>
              <w:t>0,1</w:t>
            </w:r>
          </w:p>
        </w:tc>
        <w:tc>
          <w:tcPr>
            <w:tcW w:w="1027" w:type="dxa"/>
            <w:tcBorders>
              <w:top w:val="nil"/>
              <w:left w:val="nil"/>
              <w:bottom w:val="nil"/>
              <w:right w:val="single" w:sz="8" w:space="0" w:color="auto"/>
            </w:tcBorders>
            <w:shd w:val="clear" w:color="auto" w:fill="auto"/>
            <w:vAlign w:val="center"/>
            <w:hideMark/>
          </w:tcPr>
          <w:p w:rsidR="00D74BF3" w:rsidRPr="003D53D2" w:rsidRDefault="00D74BF3" w:rsidP="00C242C7">
            <w:pPr>
              <w:jc w:val="center"/>
              <w:rPr>
                <w:color w:val="000000"/>
              </w:rPr>
            </w:pPr>
            <w:r w:rsidRPr="003D53D2">
              <w:rPr>
                <w:color w:val="000000"/>
              </w:rPr>
              <w:t>0.05 и менее</w:t>
            </w:r>
          </w:p>
        </w:tc>
      </w:tr>
    </w:tbl>
    <w:p w:rsidR="00D74BF3" w:rsidRDefault="00D74BF3" w:rsidP="00416968">
      <w:pPr>
        <w:pStyle w:val="1"/>
      </w:pPr>
      <w:bookmarkStart w:id="59" w:name="_Toc516132526"/>
      <w:bookmarkStart w:id="60" w:name="_Toc518302238"/>
      <w:r w:rsidRPr="00D177A1">
        <w:t>Оценка в рамках закупочных процедур, участниками которых могут быть только субъекты малого и среднего предпринимательства</w:t>
      </w:r>
      <w:bookmarkEnd w:id="59"/>
      <w:r w:rsidR="00072E2C">
        <w:rPr>
          <w:rStyle w:val="af6"/>
          <w:b w:val="0"/>
        </w:rPr>
        <w:footnoteReference w:id="2"/>
      </w:r>
      <w:bookmarkEnd w:id="60"/>
    </w:p>
    <w:p w:rsidR="00D74BF3" w:rsidRPr="003D53D2" w:rsidRDefault="00D74BF3" w:rsidP="00C242C7">
      <w:pPr>
        <w:pStyle w:val="aa"/>
        <w:numPr>
          <w:ilvl w:val="1"/>
          <w:numId w:val="1"/>
        </w:numPr>
        <w:spacing w:before="120" w:after="120"/>
        <w:ind w:left="0" w:firstLine="0"/>
        <w:jc w:val="both"/>
      </w:pPr>
      <w:r w:rsidRPr="003D53D2">
        <w:t xml:space="preserve">По закупкам, участниками которых могут быть только субъекты малого и среднего предпринимательства, оценка производится на основании разделов 6-7 настоящей Методики. В связи с отсутствием информации о стоимости предложения каждого участника и данных по размерам авансовых платежей в рублях, на стадии проведения финансово-экономической экспертизы оценка в рамках п.7.1. настоящей Методики производится посредством соотношения начальной (максимальной) цены закупочной процедуры к данным финансовой отчетности участников. </w:t>
      </w:r>
    </w:p>
    <w:p w:rsidR="00D74BF3" w:rsidRPr="003D53D2" w:rsidRDefault="00D74BF3" w:rsidP="00C242C7">
      <w:pPr>
        <w:spacing w:before="120" w:after="120"/>
        <w:jc w:val="both"/>
      </w:pPr>
      <w:r w:rsidRPr="003D53D2">
        <w:t>В рамках п.7.3. настоящей Методи</w:t>
      </w:r>
      <w:r w:rsidR="00877C3F">
        <w:t>ки размер авансового платежа, указываемый участниками закупки в Графике оплаты в процентном выражении к цене закупки,</w:t>
      </w:r>
      <w:r w:rsidRPr="003D53D2">
        <w:t xml:space="preserve"> будет применяться к начальной (максимальной) цене и </w:t>
      </w:r>
      <w:r w:rsidR="00877C3F">
        <w:t xml:space="preserve">оценочно </w:t>
      </w:r>
      <w:r w:rsidRPr="003D53D2">
        <w:t>сопоставляться к данным финансовой отчетности участников.</w:t>
      </w:r>
    </w:p>
    <w:p w:rsidR="00D74BF3" w:rsidRPr="00D177A1" w:rsidRDefault="00D74BF3" w:rsidP="00416968">
      <w:pPr>
        <w:pStyle w:val="1"/>
      </w:pPr>
      <w:bookmarkStart w:id="61" w:name="_Toc322961182"/>
      <w:bookmarkStart w:id="62" w:name="_Toc326066017"/>
      <w:bookmarkStart w:id="63" w:name="_Toc326066287"/>
      <w:bookmarkStart w:id="64" w:name="_Toc326067318"/>
      <w:bookmarkStart w:id="65" w:name="_Toc516132527"/>
      <w:bookmarkStart w:id="66" w:name="_Toc518302239"/>
      <w:r w:rsidRPr="00D177A1">
        <w:t xml:space="preserve">Весовые коэффициенты и формирование </w:t>
      </w:r>
      <w:bookmarkEnd w:id="61"/>
      <w:bookmarkEnd w:id="62"/>
      <w:bookmarkEnd w:id="63"/>
      <w:bookmarkEnd w:id="64"/>
      <w:r w:rsidRPr="00D177A1">
        <w:t>первичной оценки</w:t>
      </w:r>
      <w:bookmarkEnd w:id="65"/>
      <w:bookmarkEnd w:id="66"/>
    </w:p>
    <w:p w:rsidR="00D74BF3" w:rsidRPr="003D53D2" w:rsidRDefault="00D74BF3" w:rsidP="00C242C7">
      <w:pPr>
        <w:pStyle w:val="aa"/>
        <w:numPr>
          <w:ilvl w:val="1"/>
          <w:numId w:val="1"/>
        </w:numPr>
        <w:spacing w:before="120" w:after="120"/>
        <w:ind w:left="0" w:firstLine="0"/>
        <w:jc w:val="both"/>
      </w:pPr>
      <w:r w:rsidRPr="003D53D2">
        <w:t xml:space="preserve">Для расчета финансовых показателей используются данные бухгалтерской отчетности участников закупочной процедуры по состоянию на три отчетные даты: предпоследний и последний завершенные финансовые годы, а также последняя отчетная дата незавершенного финансового года*. В части влияния на итоговую оценку финансовые показатели, рассчитанные </w:t>
      </w:r>
      <w:r w:rsidRPr="003D53D2">
        <w:lastRenderedPageBreak/>
        <w:t>на указанные отчетные даты, учитываются с весовыми коэффициентами отчетных дат, представленными в Таблице Весовые коэффициенты отчетных дат.</w:t>
      </w:r>
    </w:p>
    <w:p w:rsidR="00D74BF3" w:rsidRPr="00FD5D3F" w:rsidRDefault="00D74BF3" w:rsidP="00C242C7">
      <w:pPr>
        <w:spacing w:before="120" w:after="120"/>
        <w:jc w:val="right"/>
      </w:pPr>
      <w:r w:rsidRPr="003D53D2">
        <w:t>Таблица Весовые коэффициенты отчетных дат</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2882"/>
        <w:gridCol w:w="2883"/>
      </w:tblGrid>
      <w:tr w:rsidR="00D74BF3" w:rsidRPr="003D53D2" w:rsidTr="00C242C7">
        <w:trPr>
          <w:trHeight w:val="300"/>
        </w:trPr>
        <w:tc>
          <w:tcPr>
            <w:tcW w:w="4017" w:type="dxa"/>
            <w:shd w:val="clear" w:color="000000" w:fill="F2F2F2"/>
            <w:noWrap/>
            <w:vAlign w:val="center"/>
          </w:tcPr>
          <w:p w:rsidR="00D74BF3" w:rsidRPr="003D53D2" w:rsidRDefault="00D74BF3" w:rsidP="00C242C7">
            <w:pPr>
              <w:jc w:val="center"/>
              <w:rPr>
                <w:color w:val="000000"/>
              </w:rPr>
            </w:pPr>
            <w:r w:rsidRPr="003D53D2">
              <w:rPr>
                <w:color w:val="000000"/>
              </w:rPr>
              <w:t>Предпоследний завершенный финансовый год</w:t>
            </w:r>
          </w:p>
        </w:tc>
        <w:tc>
          <w:tcPr>
            <w:tcW w:w="2882" w:type="dxa"/>
            <w:shd w:val="clear" w:color="000000" w:fill="F2F2F2"/>
            <w:noWrap/>
            <w:vAlign w:val="center"/>
          </w:tcPr>
          <w:p w:rsidR="00D74BF3" w:rsidRPr="003D53D2" w:rsidRDefault="00D74BF3" w:rsidP="00C242C7">
            <w:pPr>
              <w:jc w:val="center"/>
              <w:rPr>
                <w:color w:val="000000"/>
              </w:rPr>
            </w:pPr>
            <w:r w:rsidRPr="003D53D2">
              <w:rPr>
                <w:color w:val="000000"/>
              </w:rPr>
              <w:t>Последний завершенный финансовый год</w:t>
            </w:r>
          </w:p>
        </w:tc>
        <w:tc>
          <w:tcPr>
            <w:tcW w:w="2883" w:type="dxa"/>
            <w:shd w:val="clear" w:color="000000" w:fill="F2F2F2"/>
            <w:noWrap/>
            <w:vAlign w:val="center"/>
          </w:tcPr>
          <w:p w:rsidR="00D74BF3" w:rsidRPr="003D53D2" w:rsidRDefault="00D74BF3" w:rsidP="00C242C7">
            <w:pPr>
              <w:jc w:val="center"/>
              <w:rPr>
                <w:color w:val="000000"/>
              </w:rPr>
            </w:pPr>
            <w:r w:rsidRPr="003D53D2">
              <w:rPr>
                <w:color w:val="000000"/>
              </w:rPr>
              <w:t>Последняя отчетная дата незавершенного финансового года*</w:t>
            </w:r>
          </w:p>
        </w:tc>
      </w:tr>
      <w:tr w:rsidR="00D74BF3" w:rsidRPr="003D53D2" w:rsidTr="00C242C7">
        <w:trPr>
          <w:trHeight w:val="300"/>
        </w:trPr>
        <w:tc>
          <w:tcPr>
            <w:tcW w:w="4017" w:type="dxa"/>
            <w:shd w:val="clear" w:color="auto" w:fill="auto"/>
            <w:noWrap/>
            <w:vAlign w:val="center"/>
          </w:tcPr>
          <w:p w:rsidR="00D74BF3" w:rsidRPr="003D53D2" w:rsidRDefault="00D74BF3" w:rsidP="00C242C7">
            <w:pPr>
              <w:jc w:val="center"/>
              <w:rPr>
                <w:color w:val="000000"/>
              </w:rPr>
            </w:pPr>
            <w:r w:rsidRPr="003D53D2">
              <w:rPr>
                <w:color w:val="000000"/>
              </w:rPr>
              <w:t>25%</w:t>
            </w:r>
          </w:p>
        </w:tc>
        <w:tc>
          <w:tcPr>
            <w:tcW w:w="2882" w:type="dxa"/>
            <w:shd w:val="clear" w:color="auto" w:fill="auto"/>
            <w:noWrap/>
            <w:vAlign w:val="center"/>
          </w:tcPr>
          <w:p w:rsidR="00D74BF3" w:rsidRPr="003D53D2" w:rsidRDefault="00D74BF3" w:rsidP="00C242C7">
            <w:pPr>
              <w:jc w:val="center"/>
              <w:rPr>
                <w:color w:val="000000"/>
              </w:rPr>
            </w:pPr>
            <w:r w:rsidRPr="003D53D2">
              <w:rPr>
                <w:color w:val="000000"/>
              </w:rPr>
              <w:t>50%</w:t>
            </w:r>
          </w:p>
        </w:tc>
        <w:tc>
          <w:tcPr>
            <w:tcW w:w="2883" w:type="dxa"/>
            <w:shd w:val="clear" w:color="auto" w:fill="auto"/>
            <w:noWrap/>
            <w:vAlign w:val="center"/>
          </w:tcPr>
          <w:p w:rsidR="00D74BF3" w:rsidRPr="003D53D2" w:rsidRDefault="00D74BF3" w:rsidP="00C242C7">
            <w:pPr>
              <w:jc w:val="center"/>
              <w:rPr>
                <w:color w:val="000000"/>
              </w:rPr>
            </w:pPr>
            <w:r w:rsidRPr="003D53D2">
              <w:rPr>
                <w:color w:val="000000"/>
              </w:rPr>
              <w:t>25%</w:t>
            </w:r>
          </w:p>
        </w:tc>
      </w:tr>
      <w:tr w:rsidR="00D74BF3" w:rsidRPr="003D53D2" w:rsidTr="00C242C7">
        <w:trPr>
          <w:trHeight w:val="300"/>
        </w:trPr>
        <w:tc>
          <w:tcPr>
            <w:tcW w:w="4017" w:type="dxa"/>
            <w:shd w:val="clear" w:color="auto" w:fill="auto"/>
            <w:noWrap/>
            <w:vAlign w:val="center"/>
          </w:tcPr>
          <w:p w:rsidR="00D74BF3" w:rsidRPr="003D53D2" w:rsidRDefault="00D74BF3" w:rsidP="00C242C7">
            <w:pPr>
              <w:jc w:val="center"/>
              <w:rPr>
                <w:color w:val="000000"/>
              </w:rPr>
            </w:pPr>
            <w:r w:rsidRPr="003D53D2">
              <w:rPr>
                <w:color w:val="000000"/>
              </w:rPr>
              <w:t>33,3%</w:t>
            </w:r>
          </w:p>
        </w:tc>
        <w:tc>
          <w:tcPr>
            <w:tcW w:w="2882" w:type="dxa"/>
            <w:shd w:val="clear" w:color="auto" w:fill="auto"/>
            <w:noWrap/>
            <w:vAlign w:val="center"/>
          </w:tcPr>
          <w:p w:rsidR="00D74BF3" w:rsidRPr="003D53D2" w:rsidRDefault="00D74BF3" w:rsidP="00C242C7">
            <w:pPr>
              <w:jc w:val="center"/>
              <w:rPr>
                <w:color w:val="000000"/>
              </w:rPr>
            </w:pPr>
            <w:r w:rsidRPr="003D53D2">
              <w:rPr>
                <w:color w:val="000000"/>
              </w:rPr>
              <w:t>66,7%</w:t>
            </w:r>
          </w:p>
        </w:tc>
        <w:tc>
          <w:tcPr>
            <w:tcW w:w="2883" w:type="dxa"/>
            <w:shd w:val="clear" w:color="000000" w:fill="FFE5E5"/>
            <w:noWrap/>
            <w:vAlign w:val="center"/>
          </w:tcPr>
          <w:p w:rsidR="00D74BF3" w:rsidRPr="003D53D2" w:rsidRDefault="00D74BF3" w:rsidP="00C242C7">
            <w:pPr>
              <w:jc w:val="center"/>
              <w:rPr>
                <w:color w:val="000000"/>
              </w:rPr>
            </w:pPr>
            <w:r w:rsidRPr="003D53D2">
              <w:rPr>
                <w:color w:val="000000"/>
              </w:rPr>
              <w:t>отсутствует</w:t>
            </w:r>
          </w:p>
        </w:tc>
      </w:tr>
      <w:tr w:rsidR="00D74BF3" w:rsidRPr="003D53D2" w:rsidTr="00C242C7">
        <w:trPr>
          <w:trHeight w:val="300"/>
        </w:trPr>
        <w:tc>
          <w:tcPr>
            <w:tcW w:w="4017" w:type="dxa"/>
            <w:shd w:val="clear" w:color="000000" w:fill="FFE5E5"/>
            <w:noWrap/>
            <w:vAlign w:val="center"/>
          </w:tcPr>
          <w:p w:rsidR="00D74BF3" w:rsidRPr="003D53D2" w:rsidRDefault="00D74BF3" w:rsidP="00C242C7">
            <w:pPr>
              <w:jc w:val="center"/>
              <w:rPr>
                <w:color w:val="000000"/>
              </w:rPr>
            </w:pPr>
            <w:r w:rsidRPr="003D53D2">
              <w:rPr>
                <w:color w:val="000000"/>
              </w:rPr>
              <w:t>отсутствует</w:t>
            </w:r>
          </w:p>
        </w:tc>
        <w:tc>
          <w:tcPr>
            <w:tcW w:w="2882" w:type="dxa"/>
            <w:shd w:val="clear" w:color="auto" w:fill="auto"/>
            <w:noWrap/>
            <w:vAlign w:val="center"/>
          </w:tcPr>
          <w:p w:rsidR="00D74BF3" w:rsidRPr="003D53D2" w:rsidRDefault="00D74BF3" w:rsidP="00C242C7">
            <w:pPr>
              <w:jc w:val="center"/>
              <w:rPr>
                <w:color w:val="000000"/>
              </w:rPr>
            </w:pPr>
            <w:r w:rsidRPr="003D53D2">
              <w:rPr>
                <w:color w:val="000000"/>
              </w:rPr>
              <w:t>66,7%</w:t>
            </w:r>
          </w:p>
        </w:tc>
        <w:tc>
          <w:tcPr>
            <w:tcW w:w="2883" w:type="dxa"/>
            <w:shd w:val="clear" w:color="auto" w:fill="auto"/>
            <w:noWrap/>
            <w:vAlign w:val="center"/>
          </w:tcPr>
          <w:p w:rsidR="00D74BF3" w:rsidRPr="003D53D2" w:rsidRDefault="00D74BF3" w:rsidP="00C242C7">
            <w:pPr>
              <w:jc w:val="center"/>
              <w:rPr>
                <w:color w:val="000000"/>
              </w:rPr>
            </w:pPr>
            <w:r w:rsidRPr="003D53D2">
              <w:rPr>
                <w:color w:val="000000"/>
              </w:rPr>
              <w:t>33,3%</w:t>
            </w:r>
          </w:p>
        </w:tc>
      </w:tr>
      <w:tr w:rsidR="00D74BF3" w:rsidRPr="003D53D2" w:rsidTr="00C242C7">
        <w:trPr>
          <w:trHeight w:val="300"/>
        </w:trPr>
        <w:tc>
          <w:tcPr>
            <w:tcW w:w="4017" w:type="dxa"/>
            <w:shd w:val="clear" w:color="000000" w:fill="FFE5E5"/>
            <w:noWrap/>
            <w:vAlign w:val="center"/>
          </w:tcPr>
          <w:p w:rsidR="00D74BF3" w:rsidRPr="003D53D2" w:rsidRDefault="00D74BF3" w:rsidP="00C242C7">
            <w:pPr>
              <w:jc w:val="center"/>
              <w:rPr>
                <w:color w:val="000000"/>
              </w:rPr>
            </w:pPr>
            <w:r w:rsidRPr="003D53D2">
              <w:rPr>
                <w:color w:val="000000"/>
              </w:rPr>
              <w:t>отсутствует</w:t>
            </w:r>
          </w:p>
        </w:tc>
        <w:tc>
          <w:tcPr>
            <w:tcW w:w="2882" w:type="dxa"/>
            <w:shd w:val="clear" w:color="000000" w:fill="FFE5E5"/>
            <w:noWrap/>
            <w:vAlign w:val="center"/>
          </w:tcPr>
          <w:p w:rsidR="00D74BF3" w:rsidRPr="003D53D2" w:rsidRDefault="00D74BF3" w:rsidP="00C242C7">
            <w:pPr>
              <w:jc w:val="center"/>
              <w:rPr>
                <w:color w:val="000000"/>
              </w:rPr>
            </w:pPr>
            <w:r w:rsidRPr="003D53D2">
              <w:rPr>
                <w:color w:val="000000"/>
              </w:rPr>
              <w:t>отсутствует</w:t>
            </w:r>
          </w:p>
        </w:tc>
        <w:tc>
          <w:tcPr>
            <w:tcW w:w="2883" w:type="dxa"/>
            <w:shd w:val="clear" w:color="auto" w:fill="auto"/>
            <w:noWrap/>
            <w:vAlign w:val="center"/>
          </w:tcPr>
          <w:p w:rsidR="00D74BF3" w:rsidRPr="003D53D2" w:rsidRDefault="00D74BF3" w:rsidP="00C242C7">
            <w:pPr>
              <w:jc w:val="center"/>
              <w:rPr>
                <w:color w:val="000000"/>
              </w:rPr>
            </w:pPr>
            <w:r w:rsidRPr="003D53D2">
              <w:rPr>
                <w:color w:val="000000"/>
              </w:rPr>
              <w:t>100%</w:t>
            </w:r>
          </w:p>
        </w:tc>
      </w:tr>
    </w:tbl>
    <w:p w:rsidR="00D74BF3" w:rsidRPr="003D53D2" w:rsidRDefault="00D74BF3" w:rsidP="00C242C7">
      <w:pPr>
        <w:spacing w:before="120" w:after="120"/>
        <w:jc w:val="both"/>
        <w:rPr>
          <w:i/>
        </w:rPr>
      </w:pPr>
      <w:r w:rsidRPr="003D53D2">
        <w:rPr>
          <w:i/>
        </w:rPr>
        <w:t>*учитывая, что составление промежуточной (по полугодиям и/или ежеквартальной) бухгалтерской отчетности не является обязательным, оценка финансового состояния участников на промежуточные отчетные даты осуществляется только в случае предоставления участниками закупочной процедуры такой отчетности. Применение последней строки таблицы допускается только в случаях недостаточно продолжительного срока существования участника.</w:t>
      </w:r>
    </w:p>
    <w:p w:rsidR="00D74BF3" w:rsidRPr="003D53D2" w:rsidRDefault="00D74BF3" w:rsidP="00C242C7">
      <w:pPr>
        <w:pStyle w:val="aa"/>
        <w:numPr>
          <w:ilvl w:val="1"/>
          <w:numId w:val="1"/>
        </w:numPr>
        <w:spacing w:before="120" w:after="120"/>
        <w:ind w:left="0" w:firstLine="0"/>
        <w:jc w:val="both"/>
      </w:pPr>
      <w:r w:rsidRPr="003D53D2">
        <w:t>Допускается корректировка весовых коэффициентов отчетных дат по причине недостаточно продолжительной истории существования участника закупочной процедуры, когда данные за прошедшие финансовые года отсутствуют, как это указано в строках 3 и 4 Таблицы Весовые коэффициенты отчетных дат.</w:t>
      </w:r>
    </w:p>
    <w:p w:rsidR="00D74BF3" w:rsidRPr="003D53D2" w:rsidRDefault="00D74BF3" w:rsidP="00C242C7">
      <w:pPr>
        <w:pStyle w:val="aa"/>
        <w:numPr>
          <w:ilvl w:val="1"/>
          <w:numId w:val="1"/>
        </w:numPr>
        <w:spacing w:before="120" w:after="120"/>
        <w:ind w:left="0" w:firstLine="0"/>
        <w:jc w:val="both"/>
      </w:pPr>
      <w:r w:rsidRPr="003D53D2">
        <w:t xml:space="preserve"> В случае отсутствия данных бухгалтерской отчетности за какой-либо завершенный финансовый год из указанных в таблице по причине не предоставления участником закупочной процедуры или другим причинам, отличным от описанных в п. 9.2. и при отсутствии указанной информации в других источниках (например, Спарк-Интерфакс), и если при этом данный факт существенно влияет на оценку кредитных рисков конкретного участника закупочной процедуры итоговая оценка для данного участника должна быть понижена Экспертом, но не более чем на 1,5 балла по пятибалльной шкале</w:t>
      </w:r>
    </w:p>
    <w:p w:rsidR="00D74BF3" w:rsidRPr="003D53D2" w:rsidRDefault="00D74BF3" w:rsidP="00C242C7">
      <w:pPr>
        <w:pStyle w:val="aa"/>
        <w:numPr>
          <w:ilvl w:val="1"/>
          <w:numId w:val="1"/>
        </w:numPr>
        <w:spacing w:before="120" w:after="120"/>
        <w:ind w:left="0" w:firstLine="0"/>
        <w:jc w:val="both"/>
      </w:pPr>
      <w:r w:rsidRPr="003D53D2">
        <w:t>Участник закупочной процедуры, не предоставивший бухгалтерскую отчетность, в том числе после осуществления дополнительного запроса, ни на одну из указанных отчетных дат, должен быть отклонен на отборочной стадии.</w:t>
      </w:r>
    </w:p>
    <w:p w:rsidR="00D74BF3" w:rsidRDefault="00D74BF3" w:rsidP="00C242C7">
      <w:pPr>
        <w:pStyle w:val="aa"/>
        <w:numPr>
          <w:ilvl w:val="1"/>
          <w:numId w:val="1"/>
        </w:numPr>
        <w:spacing w:before="120" w:after="120"/>
        <w:ind w:left="0" w:firstLine="0"/>
        <w:jc w:val="both"/>
      </w:pPr>
      <w:r w:rsidRPr="003D53D2">
        <w:t>После того как каждому финансовому показателю (с учетом веса отчетных дат) и показателям бизнес-риска в зависимости от принимаемых значений присвоены баллы от 0 до 1 (где 0 соответствует неудовлетворительному, а 1 – отличному значению показателя), осуществляется взвешенное суммирование. Весовые коэффициенты для каждой группы показателей устанавливаются настоящей Методикой (Таблица Весовые коэффициенты). А основным результатом применения балльно-весового подхода с параметрами (баллами и весами), описанными выше, является первичная оценка по шкале от 0 до 1. Данная оценка используется как на отборочной стадии, посредством установки минимального проходного балла, так и на оценочной стадии для ранжирования предложений участников закупочной процедуры.</w:t>
      </w:r>
    </w:p>
    <w:p w:rsidR="001F03BB" w:rsidRPr="003D53D2" w:rsidRDefault="001F03BB" w:rsidP="00C242C7">
      <w:pPr>
        <w:pStyle w:val="aa"/>
        <w:spacing w:before="120" w:after="120"/>
        <w:ind w:left="0"/>
        <w:jc w:val="both"/>
      </w:pPr>
    </w:p>
    <w:p w:rsidR="00D74BF3" w:rsidRPr="003D53D2" w:rsidRDefault="00D74BF3" w:rsidP="00C242C7">
      <w:pPr>
        <w:spacing w:before="120" w:after="120"/>
        <w:jc w:val="right"/>
      </w:pPr>
      <w:r w:rsidRPr="003D53D2">
        <w:t>Таблица Весовые коэффициенты</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061"/>
        <w:gridCol w:w="636"/>
        <w:gridCol w:w="2864"/>
        <w:gridCol w:w="866"/>
        <w:gridCol w:w="1300"/>
      </w:tblGrid>
      <w:tr w:rsidR="001F03BB" w:rsidTr="00C242C7">
        <w:trPr>
          <w:trHeight w:val="2235"/>
        </w:trPr>
        <w:tc>
          <w:tcPr>
            <w:tcW w:w="1050" w:type="dxa"/>
            <w:shd w:val="clear" w:color="auto" w:fill="auto"/>
            <w:noWrap/>
            <w:vAlign w:val="bottom"/>
          </w:tcPr>
          <w:p w:rsidR="001F03BB" w:rsidRPr="00C242C7" w:rsidRDefault="001F03BB" w:rsidP="00C242C7">
            <w:pPr>
              <w:rPr>
                <w:color w:val="000000"/>
              </w:rPr>
            </w:pPr>
            <w:r w:rsidRPr="00C242C7">
              <w:rPr>
                <w:color w:val="000000"/>
              </w:rPr>
              <w:lastRenderedPageBreak/>
              <w:t> </w:t>
            </w:r>
          </w:p>
        </w:tc>
        <w:tc>
          <w:tcPr>
            <w:tcW w:w="3061" w:type="dxa"/>
            <w:shd w:val="clear" w:color="auto" w:fill="auto"/>
            <w:noWrap/>
            <w:vAlign w:val="bottom"/>
          </w:tcPr>
          <w:p w:rsidR="001F03BB" w:rsidRPr="00C242C7" w:rsidRDefault="001F03BB" w:rsidP="00C242C7">
            <w:pPr>
              <w:rPr>
                <w:color w:val="000000"/>
              </w:rPr>
            </w:pPr>
            <w:r w:rsidRPr="00C242C7">
              <w:rPr>
                <w:color w:val="000000"/>
              </w:rPr>
              <w:t> </w:t>
            </w:r>
          </w:p>
        </w:tc>
        <w:tc>
          <w:tcPr>
            <w:tcW w:w="636" w:type="dxa"/>
            <w:shd w:val="clear" w:color="auto" w:fill="auto"/>
            <w:textDirection w:val="btLr"/>
            <w:vAlign w:val="center"/>
          </w:tcPr>
          <w:p w:rsidR="001F03BB" w:rsidRPr="00C242C7" w:rsidRDefault="001F03BB" w:rsidP="00C242C7">
            <w:pPr>
              <w:jc w:val="center"/>
              <w:rPr>
                <w:color w:val="000000"/>
              </w:rPr>
            </w:pPr>
            <w:r w:rsidRPr="00C242C7">
              <w:rPr>
                <w:color w:val="000000"/>
              </w:rPr>
              <w:t>Вес группы</w:t>
            </w:r>
          </w:p>
        </w:tc>
        <w:tc>
          <w:tcPr>
            <w:tcW w:w="2864" w:type="dxa"/>
            <w:shd w:val="clear" w:color="auto" w:fill="auto"/>
            <w:noWrap/>
            <w:vAlign w:val="center"/>
          </w:tcPr>
          <w:p w:rsidR="001F03BB" w:rsidRPr="00C242C7" w:rsidRDefault="001F03BB" w:rsidP="00C242C7">
            <w:pPr>
              <w:jc w:val="center"/>
              <w:rPr>
                <w:color w:val="000000"/>
              </w:rPr>
            </w:pPr>
            <w:r w:rsidRPr="00C242C7">
              <w:rPr>
                <w:color w:val="000000"/>
              </w:rPr>
              <w:t>Показатель</w:t>
            </w:r>
          </w:p>
        </w:tc>
        <w:tc>
          <w:tcPr>
            <w:tcW w:w="866" w:type="dxa"/>
            <w:shd w:val="clear" w:color="auto" w:fill="auto"/>
            <w:textDirection w:val="btLr"/>
            <w:vAlign w:val="center"/>
          </w:tcPr>
          <w:p w:rsidR="001F03BB" w:rsidRPr="00C242C7" w:rsidRDefault="001F03BB" w:rsidP="00C242C7">
            <w:pPr>
              <w:jc w:val="center"/>
              <w:rPr>
                <w:color w:val="000000"/>
              </w:rPr>
            </w:pPr>
            <w:r w:rsidRPr="00C242C7">
              <w:rPr>
                <w:color w:val="000000"/>
              </w:rPr>
              <w:t>Вес показателя внутри группы</w:t>
            </w:r>
          </w:p>
        </w:tc>
        <w:tc>
          <w:tcPr>
            <w:tcW w:w="1300" w:type="dxa"/>
            <w:shd w:val="clear" w:color="auto" w:fill="auto"/>
            <w:textDirection w:val="btLr"/>
            <w:vAlign w:val="center"/>
          </w:tcPr>
          <w:p w:rsidR="001F03BB" w:rsidRPr="00C242C7" w:rsidRDefault="001F03BB" w:rsidP="00C242C7">
            <w:pPr>
              <w:jc w:val="center"/>
              <w:rPr>
                <w:color w:val="000000"/>
              </w:rPr>
            </w:pPr>
            <w:r w:rsidRPr="00C242C7">
              <w:rPr>
                <w:color w:val="000000"/>
              </w:rPr>
              <w:t>Итоговый вес показателя с учетом веса группы показателей</w:t>
            </w:r>
          </w:p>
        </w:tc>
      </w:tr>
      <w:tr w:rsidR="001F03BB" w:rsidTr="00C242C7">
        <w:trPr>
          <w:trHeight w:val="600"/>
        </w:trPr>
        <w:tc>
          <w:tcPr>
            <w:tcW w:w="1050" w:type="dxa"/>
            <w:vMerge w:val="restart"/>
            <w:shd w:val="clear" w:color="auto" w:fill="auto"/>
            <w:textDirection w:val="btLr"/>
            <w:vAlign w:val="center"/>
          </w:tcPr>
          <w:p w:rsidR="001F03BB" w:rsidRPr="00C242C7" w:rsidRDefault="001F03BB" w:rsidP="00C242C7">
            <w:pPr>
              <w:jc w:val="center"/>
              <w:rPr>
                <w:b/>
                <w:color w:val="000000"/>
              </w:rPr>
            </w:pPr>
            <w:r w:rsidRPr="00C242C7">
              <w:rPr>
                <w:b/>
                <w:color w:val="000000"/>
              </w:rPr>
              <w:t>Группа финансовых показателей</w:t>
            </w:r>
          </w:p>
        </w:tc>
        <w:tc>
          <w:tcPr>
            <w:tcW w:w="3061" w:type="dxa"/>
            <w:vMerge w:val="restart"/>
            <w:shd w:val="clear" w:color="auto" w:fill="auto"/>
          </w:tcPr>
          <w:p w:rsidR="001F03BB" w:rsidRPr="00C242C7" w:rsidRDefault="001F03BB" w:rsidP="00C242C7">
            <w:pPr>
              <w:rPr>
                <w:color w:val="000000"/>
              </w:rPr>
            </w:pPr>
            <w:r w:rsidRPr="00C242C7">
              <w:rPr>
                <w:b/>
                <w:color w:val="000000"/>
              </w:rPr>
              <w:t>1 группа</w:t>
            </w:r>
            <w:r w:rsidRPr="00C242C7">
              <w:rPr>
                <w:color w:val="000000"/>
              </w:rPr>
              <w:t xml:space="preserve"> Коэффициенты, характеризующие способность компании расплачиваться по финансовым обязательствам и устойчивость:</w:t>
            </w:r>
          </w:p>
        </w:tc>
        <w:tc>
          <w:tcPr>
            <w:tcW w:w="636" w:type="dxa"/>
            <w:vMerge w:val="restart"/>
            <w:shd w:val="clear" w:color="auto" w:fill="auto"/>
            <w:vAlign w:val="center"/>
          </w:tcPr>
          <w:p w:rsidR="001F03BB" w:rsidRPr="00C242C7" w:rsidRDefault="001F03BB" w:rsidP="00C242C7">
            <w:pPr>
              <w:jc w:val="center"/>
              <w:rPr>
                <w:color w:val="000000"/>
              </w:rPr>
            </w:pPr>
            <w:r w:rsidRPr="00C242C7">
              <w:rPr>
                <w:color w:val="000000"/>
              </w:rPr>
              <w:t>0,30</w:t>
            </w:r>
          </w:p>
        </w:tc>
        <w:tc>
          <w:tcPr>
            <w:tcW w:w="2864" w:type="dxa"/>
            <w:shd w:val="clear" w:color="auto" w:fill="auto"/>
          </w:tcPr>
          <w:p w:rsidR="001F03BB" w:rsidRPr="00C242C7" w:rsidRDefault="001F03BB" w:rsidP="00C242C7">
            <w:pPr>
              <w:rPr>
                <w:i/>
                <w:color w:val="000000"/>
              </w:rPr>
            </w:pPr>
            <w:r w:rsidRPr="00C242C7">
              <w:rPr>
                <w:i/>
                <w:color w:val="000000"/>
              </w:rPr>
              <w:t>Доля привлеченных средств в пассивах</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50%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0,15</w:t>
            </w:r>
          </w:p>
        </w:tc>
      </w:tr>
      <w:tr w:rsidR="001F03BB" w:rsidTr="00C242C7">
        <w:trPr>
          <w:trHeight w:val="600"/>
        </w:trPr>
        <w:tc>
          <w:tcPr>
            <w:tcW w:w="1050" w:type="dxa"/>
            <w:vMerge/>
            <w:vAlign w:val="center"/>
          </w:tcPr>
          <w:p w:rsidR="001F03BB" w:rsidRPr="00C242C7" w:rsidRDefault="001F03BB" w:rsidP="00C242C7">
            <w:pPr>
              <w:jc w:val="center"/>
              <w:rPr>
                <w:color w:val="000000"/>
              </w:rPr>
            </w:pPr>
          </w:p>
        </w:tc>
        <w:tc>
          <w:tcPr>
            <w:tcW w:w="3061" w:type="dxa"/>
            <w:vMerge/>
            <w:vAlign w:val="center"/>
          </w:tcPr>
          <w:p w:rsidR="001F03BB" w:rsidRPr="00C242C7" w:rsidRDefault="001F03BB" w:rsidP="00C242C7">
            <w:pPr>
              <w:rPr>
                <w:color w:val="000000"/>
              </w:rPr>
            </w:pPr>
          </w:p>
        </w:tc>
        <w:tc>
          <w:tcPr>
            <w:tcW w:w="636" w:type="dxa"/>
            <w:vMerge/>
            <w:vAlign w:val="center"/>
          </w:tcPr>
          <w:p w:rsidR="001F03BB" w:rsidRPr="00C242C7" w:rsidRDefault="001F03BB" w:rsidP="00C242C7">
            <w:pPr>
              <w:jc w:val="center"/>
              <w:rPr>
                <w:color w:val="000000"/>
              </w:rPr>
            </w:pPr>
          </w:p>
        </w:tc>
        <w:tc>
          <w:tcPr>
            <w:tcW w:w="2864" w:type="dxa"/>
            <w:shd w:val="clear" w:color="auto" w:fill="auto"/>
          </w:tcPr>
          <w:p w:rsidR="001F03BB" w:rsidRPr="00C242C7" w:rsidRDefault="001F03BB" w:rsidP="00C242C7">
            <w:pPr>
              <w:rPr>
                <w:i/>
                <w:color w:val="000000"/>
              </w:rPr>
            </w:pPr>
            <w:r w:rsidRPr="00C242C7">
              <w:rPr>
                <w:i/>
                <w:color w:val="000000"/>
              </w:rPr>
              <w:t>Рентабельность инвестированного капитала</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20%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0,06</w:t>
            </w:r>
          </w:p>
        </w:tc>
      </w:tr>
      <w:tr w:rsidR="001F03BB" w:rsidTr="00C242C7">
        <w:trPr>
          <w:trHeight w:val="300"/>
        </w:trPr>
        <w:tc>
          <w:tcPr>
            <w:tcW w:w="1050" w:type="dxa"/>
            <w:vMerge/>
            <w:vAlign w:val="center"/>
          </w:tcPr>
          <w:p w:rsidR="001F03BB" w:rsidRPr="00C242C7" w:rsidRDefault="001F03BB" w:rsidP="00C242C7">
            <w:pPr>
              <w:jc w:val="center"/>
              <w:rPr>
                <w:color w:val="000000"/>
              </w:rPr>
            </w:pPr>
          </w:p>
        </w:tc>
        <w:tc>
          <w:tcPr>
            <w:tcW w:w="3061" w:type="dxa"/>
            <w:vMerge/>
            <w:vAlign w:val="center"/>
          </w:tcPr>
          <w:p w:rsidR="001F03BB" w:rsidRPr="00C242C7" w:rsidRDefault="001F03BB" w:rsidP="00C242C7">
            <w:pPr>
              <w:rPr>
                <w:color w:val="000000"/>
              </w:rPr>
            </w:pPr>
          </w:p>
        </w:tc>
        <w:tc>
          <w:tcPr>
            <w:tcW w:w="636" w:type="dxa"/>
            <w:vMerge/>
            <w:vAlign w:val="center"/>
          </w:tcPr>
          <w:p w:rsidR="001F03BB" w:rsidRPr="00C242C7" w:rsidRDefault="001F03BB" w:rsidP="00C242C7">
            <w:pPr>
              <w:jc w:val="center"/>
              <w:rPr>
                <w:color w:val="000000"/>
              </w:rPr>
            </w:pPr>
          </w:p>
        </w:tc>
        <w:tc>
          <w:tcPr>
            <w:tcW w:w="2864" w:type="dxa"/>
            <w:shd w:val="clear" w:color="auto" w:fill="auto"/>
          </w:tcPr>
          <w:p w:rsidR="001F03BB" w:rsidRPr="00C242C7" w:rsidRDefault="001F03BB" w:rsidP="00C242C7">
            <w:pPr>
              <w:rPr>
                <w:i/>
                <w:color w:val="000000"/>
              </w:rPr>
            </w:pPr>
            <w:r w:rsidRPr="00C242C7">
              <w:rPr>
                <w:i/>
                <w:color w:val="000000"/>
              </w:rPr>
              <w:t>Долг / EBITDA</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30%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0,09</w:t>
            </w:r>
          </w:p>
        </w:tc>
      </w:tr>
      <w:tr w:rsidR="001F03BB" w:rsidTr="00C242C7">
        <w:trPr>
          <w:trHeight w:val="300"/>
        </w:trPr>
        <w:tc>
          <w:tcPr>
            <w:tcW w:w="1050" w:type="dxa"/>
            <w:vMerge/>
            <w:vAlign w:val="center"/>
          </w:tcPr>
          <w:p w:rsidR="001F03BB" w:rsidRPr="00C242C7" w:rsidRDefault="001F03BB" w:rsidP="00C242C7">
            <w:pPr>
              <w:jc w:val="center"/>
              <w:rPr>
                <w:color w:val="000000"/>
              </w:rPr>
            </w:pPr>
          </w:p>
        </w:tc>
        <w:tc>
          <w:tcPr>
            <w:tcW w:w="3061" w:type="dxa"/>
            <w:vMerge w:val="restart"/>
            <w:shd w:val="clear" w:color="auto" w:fill="auto"/>
          </w:tcPr>
          <w:p w:rsidR="001F03BB" w:rsidRPr="00C242C7" w:rsidRDefault="001F03BB" w:rsidP="00C242C7">
            <w:pPr>
              <w:rPr>
                <w:color w:val="000000"/>
              </w:rPr>
            </w:pPr>
            <w:r w:rsidRPr="00C242C7">
              <w:rPr>
                <w:b/>
                <w:color w:val="000000"/>
              </w:rPr>
              <w:t>2 группа</w:t>
            </w:r>
            <w:r w:rsidRPr="00C242C7">
              <w:rPr>
                <w:color w:val="000000"/>
              </w:rPr>
              <w:t xml:space="preserve"> Коэффициенты, характеризующие операционную деятельность</w:t>
            </w:r>
          </w:p>
        </w:tc>
        <w:tc>
          <w:tcPr>
            <w:tcW w:w="636" w:type="dxa"/>
            <w:vMerge w:val="restart"/>
            <w:shd w:val="clear" w:color="auto" w:fill="auto"/>
            <w:vAlign w:val="center"/>
          </w:tcPr>
          <w:p w:rsidR="001F03BB" w:rsidRPr="00C242C7" w:rsidRDefault="001F03BB" w:rsidP="00C242C7">
            <w:pPr>
              <w:jc w:val="center"/>
              <w:rPr>
                <w:color w:val="000000"/>
              </w:rPr>
            </w:pPr>
            <w:r w:rsidRPr="00C242C7">
              <w:rPr>
                <w:color w:val="000000"/>
              </w:rPr>
              <w:t>0,22</w:t>
            </w:r>
          </w:p>
        </w:tc>
        <w:tc>
          <w:tcPr>
            <w:tcW w:w="2864" w:type="dxa"/>
            <w:shd w:val="clear" w:color="auto" w:fill="auto"/>
          </w:tcPr>
          <w:p w:rsidR="001F03BB" w:rsidRPr="00C242C7" w:rsidRDefault="001F03BB" w:rsidP="00C242C7">
            <w:pPr>
              <w:rPr>
                <w:i/>
                <w:color w:val="000000"/>
              </w:rPr>
            </w:pPr>
            <w:r w:rsidRPr="00C242C7">
              <w:rPr>
                <w:i/>
                <w:color w:val="000000"/>
              </w:rPr>
              <w:t>период оборота дебиторской задолженности</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30%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0,07</w:t>
            </w:r>
          </w:p>
        </w:tc>
      </w:tr>
      <w:tr w:rsidR="001F03BB" w:rsidTr="00C242C7">
        <w:trPr>
          <w:trHeight w:val="300"/>
        </w:trPr>
        <w:tc>
          <w:tcPr>
            <w:tcW w:w="1050" w:type="dxa"/>
            <w:vMerge/>
            <w:vAlign w:val="center"/>
          </w:tcPr>
          <w:p w:rsidR="001F03BB" w:rsidRPr="00C242C7" w:rsidRDefault="001F03BB" w:rsidP="00C242C7">
            <w:pPr>
              <w:jc w:val="center"/>
              <w:rPr>
                <w:color w:val="000000"/>
              </w:rPr>
            </w:pPr>
          </w:p>
        </w:tc>
        <w:tc>
          <w:tcPr>
            <w:tcW w:w="3061" w:type="dxa"/>
            <w:vMerge/>
            <w:vAlign w:val="center"/>
          </w:tcPr>
          <w:p w:rsidR="001F03BB" w:rsidRPr="00C242C7" w:rsidRDefault="001F03BB" w:rsidP="00C242C7">
            <w:pPr>
              <w:rPr>
                <w:color w:val="000000"/>
              </w:rPr>
            </w:pPr>
          </w:p>
        </w:tc>
        <w:tc>
          <w:tcPr>
            <w:tcW w:w="636" w:type="dxa"/>
            <w:vMerge/>
            <w:vAlign w:val="center"/>
          </w:tcPr>
          <w:p w:rsidR="001F03BB" w:rsidRPr="00C242C7" w:rsidRDefault="001F03BB" w:rsidP="00C242C7">
            <w:pPr>
              <w:jc w:val="center"/>
              <w:rPr>
                <w:color w:val="000000"/>
              </w:rPr>
            </w:pPr>
          </w:p>
        </w:tc>
        <w:tc>
          <w:tcPr>
            <w:tcW w:w="2864" w:type="dxa"/>
            <w:shd w:val="clear" w:color="auto" w:fill="auto"/>
          </w:tcPr>
          <w:p w:rsidR="001F03BB" w:rsidRPr="00C242C7" w:rsidRDefault="001F03BB" w:rsidP="00C242C7">
            <w:pPr>
              <w:rPr>
                <w:i/>
                <w:color w:val="000000"/>
              </w:rPr>
            </w:pPr>
            <w:r w:rsidRPr="00C242C7">
              <w:rPr>
                <w:i/>
                <w:color w:val="000000"/>
              </w:rPr>
              <w:t>период оборота кредиторской задолженности</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70%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0,15</w:t>
            </w:r>
          </w:p>
        </w:tc>
      </w:tr>
      <w:tr w:rsidR="001F03BB" w:rsidTr="00C242C7">
        <w:trPr>
          <w:trHeight w:val="300"/>
        </w:trPr>
        <w:tc>
          <w:tcPr>
            <w:tcW w:w="1050" w:type="dxa"/>
            <w:vMerge/>
            <w:vAlign w:val="center"/>
          </w:tcPr>
          <w:p w:rsidR="001F03BB" w:rsidRPr="00C242C7" w:rsidRDefault="001F03BB" w:rsidP="00C242C7">
            <w:pPr>
              <w:jc w:val="center"/>
              <w:rPr>
                <w:color w:val="000000"/>
              </w:rPr>
            </w:pPr>
          </w:p>
        </w:tc>
        <w:tc>
          <w:tcPr>
            <w:tcW w:w="3061" w:type="dxa"/>
            <w:vMerge w:val="restart"/>
            <w:shd w:val="clear" w:color="auto" w:fill="auto"/>
          </w:tcPr>
          <w:p w:rsidR="001F03BB" w:rsidRPr="00C242C7" w:rsidRDefault="001F03BB" w:rsidP="00C242C7">
            <w:pPr>
              <w:rPr>
                <w:color w:val="000000"/>
              </w:rPr>
            </w:pPr>
            <w:r w:rsidRPr="00C242C7">
              <w:rPr>
                <w:b/>
                <w:color w:val="000000"/>
              </w:rPr>
              <w:t>3 группа</w:t>
            </w:r>
            <w:r w:rsidRPr="00C242C7">
              <w:rPr>
                <w:color w:val="000000"/>
              </w:rPr>
              <w:t xml:space="preserve"> Коэффициенты, характеризующие ликвидность</w:t>
            </w:r>
          </w:p>
        </w:tc>
        <w:tc>
          <w:tcPr>
            <w:tcW w:w="636" w:type="dxa"/>
            <w:vMerge w:val="restart"/>
            <w:shd w:val="clear" w:color="auto" w:fill="auto"/>
            <w:vAlign w:val="center"/>
          </w:tcPr>
          <w:p w:rsidR="001F03BB" w:rsidRPr="00C242C7" w:rsidRDefault="001F03BB" w:rsidP="00C242C7">
            <w:pPr>
              <w:jc w:val="center"/>
              <w:rPr>
                <w:color w:val="000000"/>
              </w:rPr>
            </w:pPr>
            <w:r w:rsidRPr="00C242C7">
              <w:rPr>
                <w:color w:val="000000"/>
              </w:rPr>
              <w:t>0,13</w:t>
            </w:r>
          </w:p>
        </w:tc>
        <w:tc>
          <w:tcPr>
            <w:tcW w:w="2864" w:type="dxa"/>
            <w:shd w:val="clear" w:color="auto" w:fill="auto"/>
          </w:tcPr>
          <w:p w:rsidR="001F03BB" w:rsidRPr="00C242C7" w:rsidRDefault="001F03BB" w:rsidP="00C242C7">
            <w:pPr>
              <w:rPr>
                <w:i/>
                <w:color w:val="000000"/>
              </w:rPr>
            </w:pPr>
            <w:r w:rsidRPr="00C242C7">
              <w:rPr>
                <w:i/>
                <w:color w:val="000000"/>
              </w:rPr>
              <w:t xml:space="preserve">Абсолютная ликвидность </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50%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0,065</w:t>
            </w:r>
          </w:p>
        </w:tc>
      </w:tr>
      <w:tr w:rsidR="001F03BB" w:rsidTr="00C242C7">
        <w:trPr>
          <w:trHeight w:val="900"/>
        </w:trPr>
        <w:tc>
          <w:tcPr>
            <w:tcW w:w="1050" w:type="dxa"/>
            <w:vMerge/>
            <w:vAlign w:val="center"/>
          </w:tcPr>
          <w:p w:rsidR="001F03BB" w:rsidRPr="00C242C7" w:rsidRDefault="001F03BB" w:rsidP="00C242C7">
            <w:pPr>
              <w:jc w:val="center"/>
              <w:rPr>
                <w:color w:val="000000"/>
              </w:rPr>
            </w:pPr>
          </w:p>
        </w:tc>
        <w:tc>
          <w:tcPr>
            <w:tcW w:w="3061" w:type="dxa"/>
            <w:vMerge/>
            <w:vAlign w:val="center"/>
          </w:tcPr>
          <w:p w:rsidR="001F03BB" w:rsidRPr="00C242C7" w:rsidRDefault="001F03BB" w:rsidP="00C242C7">
            <w:pPr>
              <w:rPr>
                <w:color w:val="000000"/>
              </w:rPr>
            </w:pPr>
          </w:p>
        </w:tc>
        <w:tc>
          <w:tcPr>
            <w:tcW w:w="636" w:type="dxa"/>
            <w:vMerge/>
            <w:vAlign w:val="center"/>
          </w:tcPr>
          <w:p w:rsidR="001F03BB" w:rsidRPr="00C242C7" w:rsidRDefault="001F03BB" w:rsidP="00C242C7">
            <w:pPr>
              <w:jc w:val="center"/>
              <w:rPr>
                <w:color w:val="000000"/>
              </w:rPr>
            </w:pPr>
          </w:p>
        </w:tc>
        <w:tc>
          <w:tcPr>
            <w:tcW w:w="2864" w:type="dxa"/>
            <w:shd w:val="clear" w:color="auto" w:fill="auto"/>
          </w:tcPr>
          <w:p w:rsidR="001F03BB" w:rsidRPr="00C242C7" w:rsidRDefault="001F03BB" w:rsidP="00C242C7">
            <w:pPr>
              <w:rPr>
                <w:i/>
                <w:color w:val="000000"/>
              </w:rPr>
            </w:pPr>
            <w:r w:rsidRPr="00C242C7">
              <w:rPr>
                <w:i/>
                <w:color w:val="000000"/>
              </w:rPr>
              <w:t xml:space="preserve">Покрытие внеоборотных активов долгосрочными источниками финансирования </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50%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0,065</w:t>
            </w:r>
          </w:p>
        </w:tc>
      </w:tr>
      <w:tr w:rsidR="001F03BB" w:rsidTr="00C242C7">
        <w:trPr>
          <w:trHeight w:val="705"/>
        </w:trPr>
        <w:tc>
          <w:tcPr>
            <w:tcW w:w="1050" w:type="dxa"/>
            <w:vMerge w:val="restart"/>
            <w:shd w:val="clear" w:color="auto" w:fill="auto"/>
            <w:textDirection w:val="btLr"/>
            <w:vAlign w:val="center"/>
          </w:tcPr>
          <w:p w:rsidR="001F03BB" w:rsidRPr="00C242C7" w:rsidRDefault="001F03BB" w:rsidP="00C242C7">
            <w:pPr>
              <w:jc w:val="center"/>
              <w:rPr>
                <w:b/>
                <w:color w:val="000000"/>
              </w:rPr>
            </w:pPr>
            <w:r w:rsidRPr="00C242C7">
              <w:rPr>
                <w:b/>
                <w:color w:val="000000"/>
              </w:rPr>
              <w:t>Группа показателей бизнес-риска</w:t>
            </w:r>
          </w:p>
        </w:tc>
        <w:tc>
          <w:tcPr>
            <w:tcW w:w="3061" w:type="dxa"/>
            <w:vMerge w:val="restart"/>
            <w:shd w:val="clear" w:color="auto" w:fill="auto"/>
          </w:tcPr>
          <w:p w:rsidR="001F03BB" w:rsidRPr="00C242C7" w:rsidRDefault="001F03BB" w:rsidP="00C242C7">
            <w:pPr>
              <w:rPr>
                <w:color w:val="000000"/>
              </w:rPr>
            </w:pPr>
            <w:r w:rsidRPr="00C242C7">
              <w:rPr>
                <w:b/>
                <w:color w:val="000000"/>
              </w:rPr>
              <w:t>4 группа</w:t>
            </w:r>
            <w:r w:rsidRPr="00C242C7">
              <w:rPr>
                <w:color w:val="000000"/>
              </w:rPr>
              <w:t xml:space="preserve"> Соответствие масштабов деятельности участника закупочной процедуры сумме закупки (в сравнении с активами, с выручкой)</w:t>
            </w:r>
          </w:p>
        </w:tc>
        <w:tc>
          <w:tcPr>
            <w:tcW w:w="636" w:type="dxa"/>
            <w:vMerge w:val="restart"/>
            <w:shd w:val="clear" w:color="auto" w:fill="auto"/>
            <w:vAlign w:val="center"/>
          </w:tcPr>
          <w:p w:rsidR="001F03BB" w:rsidRPr="00C242C7" w:rsidRDefault="001F03BB" w:rsidP="00C242C7">
            <w:pPr>
              <w:jc w:val="center"/>
              <w:rPr>
                <w:color w:val="000000"/>
              </w:rPr>
            </w:pPr>
            <w:r w:rsidRPr="00C242C7">
              <w:rPr>
                <w:color w:val="000000"/>
              </w:rPr>
              <w:t>0,38</w:t>
            </w:r>
          </w:p>
        </w:tc>
        <w:tc>
          <w:tcPr>
            <w:tcW w:w="2864" w:type="dxa"/>
            <w:shd w:val="clear" w:color="auto" w:fill="auto"/>
          </w:tcPr>
          <w:p w:rsidR="001F03BB" w:rsidRPr="00C242C7" w:rsidRDefault="001F03BB" w:rsidP="00C242C7">
            <w:pPr>
              <w:rPr>
                <w:i/>
                <w:color w:val="000000"/>
              </w:rPr>
            </w:pPr>
            <w:r w:rsidRPr="00C242C7">
              <w:rPr>
                <w:i/>
                <w:color w:val="000000"/>
              </w:rPr>
              <w:t>Сумма закупки* / Выручка</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50%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0,19</w:t>
            </w:r>
          </w:p>
        </w:tc>
      </w:tr>
      <w:tr w:rsidR="001F03BB" w:rsidTr="00C242C7">
        <w:trPr>
          <w:trHeight w:val="705"/>
        </w:trPr>
        <w:tc>
          <w:tcPr>
            <w:tcW w:w="1050" w:type="dxa"/>
            <w:vMerge/>
            <w:vAlign w:val="center"/>
          </w:tcPr>
          <w:p w:rsidR="001F03BB" w:rsidRPr="00C242C7" w:rsidRDefault="001F03BB" w:rsidP="00C242C7">
            <w:pPr>
              <w:rPr>
                <w:color w:val="000000"/>
              </w:rPr>
            </w:pPr>
          </w:p>
        </w:tc>
        <w:tc>
          <w:tcPr>
            <w:tcW w:w="3061" w:type="dxa"/>
            <w:vMerge/>
            <w:vAlign w:val="center"/>
          </w:tcPr>
          <w:p w:rsidR="001F03BB" w:rsidRPr="00C242C7" w:rsidRDefault="001F03BB" w:rsidP="00C242C7">
            <w:pPr>
              <w:rPr>
                <w:color w:val="000000"/>
              </w:rPr>
            </w:pPr>
          </w:p>
        </w:tc>
        <w:tc>
          <w:tcPr>
            <w:tcW w:w="636" w:type="dxa"/>
            <w:vMerge/>
            <w:vAlign w:val="center"/>
          </w:tcPr>
          <w:p w:rsidR="001F03BB" w:rsidRPr="00C242C7" w:rsidRDefault="001F03BB" w:rsidP="00C242C7">
            <w:pPr>
              <w:jc w:val="center"/>
              <w:rPr>
                <w:color w:val="000000"/>
              </w:rPr>
            </w:pPr>
          </w:p>
        </w:tc>
        <w:tc>
          <w:tcPr>
            <w:tcW w:w="2864" w:type="dxa"/>
            <w:shd w:val="clear" w:color="auto" w:fill="auto"/>
          </w:tcPr>
          <w:p w:rsidR="001F03BB" w:rsidRPr="00C242C7" w:rsidRDefault="001F03BB" w:rsidP="00C242C7">
            <w:pPr>
              <w:rPr>
                <w:i/>
                <w:color w:val="000000"/>
              </w:rPr>
            </w:pPr>
            <w:r w:rsidRPr="00C242C7">
              <w:rPr>
                <w:i/>
                <w:color w:val="000000"/>
              </w:rPr>
              <w:t>Сумма закупки* / Активы</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50%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0,19</w:t>
            </w:r>
          </w:p>
        </w:tc>
      </w:tr>
      <w:tr w:rsidR="001F03BB" w:rsidTr="00C242C7">
        <w:trPr>
          <w:trHeight w:val="685"/>
        </w:trPr>
        <w:tc>
          <w:tcPr>
            <w:tcW w:w="1050" w:type="dxa"/>
            <w:vMerge/>
            <w:vAlign w:val="center"/>
          </w:tcPr>
          <w:p w:rsidR="001F03BB" w:rsidRPr="00C242C7" w:rsidRDefault="001F03BB" w:rsidP="00C242C7">
            <w:pPr>
              <w:rPr>
                <w:color w:val="000000"/>
              </w:rPr>
            </w:pPr>
          </w:p>
        </w:tc>
        <w:tc>
          <w:tcPr>
            <w:tcW w:w="3061" w:type="dxa"/>
            <w:shd w:val="clear" w:color="auto" w:fill="auto"/>
          </w:tcPr>
          <w:p w:rsidR="001F03BB" w:rsidRPr="00C242C7" w:rsidRDefault="001F03BB" w:rsidP="00C242C7">
            <w:pPr>
              <w:rPr>
                <w:color w:val="000000"/>
              </w:rPr>
            </w:pPr>
            <w:r w:rsidRPr="00C242C7">
              <w:rPr>
                <w:b/>
                <w:color w:val="000000"/>
              </w:rPr>
              <w:t>5 группа</w:t>
            </w:r>
            <w:r w:rsidRPr="00C242C7">
              <w:rPr>
                <w:color w:val="000000"/>
              </w:rPr>
              <w:t xml:space="preserve"> Срок существования компании</w:t>
            </w:r>
          </w:p>
        </w:tc>
        <w:tc>
          <w:tcPr>
            <w:tcW w:w="636" w:type="dxa"/>
            <w:shd w:val="clear" w:color="auto" w:fill="auto"/>
            <w:vAlign w:val="center"/>
          </w:tcPr>
          <w:p w:rsidR="001F03BB" w:rsidRPr="00C242C7" w:rsidRDefault="001F03BB" w:rsidP="00C242C7">
            <w:pPr>
              <w:jc w:val="center"/>
              <w:rPr>
                <w:color w:val="000000"/>
              </w:rPr>
            </w:pPr>
            <w:r w:rsidRPr="00C242C7">
              <w:rPr>
                <w:color w:val="000000"/>
              </w:rPr>
              <w:t>0,18</w:t>
            </w:r>
          </w:p>
        </w:tc>
        <w:tc>
          <w:tcPr>
            <w:tcW w:w="2864" w:type="dxa"/>
            <w:shd w:val="clear" w:color="auto" w:fill="auto"/>
          </w:tcPr>
          <w:p w:rsidR="001F03BB" w:rsidRPr="00C242C7" w:rsidRDefault="001F03BB" w:rsidP="00C242C7">
            <w:pPr>
              <w:rPr>
                <w:i/>
                <w:color w:val="000000"/>
              </w:rPr>
            </w:pP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100%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0,18</w:t>
            </w:r>
          </w:p>
        </w:tc>
      </w:tr>
      <w:tr w:rsidR="001F03BB" w:rsidTr="00C242C7">
        <w:trPr>
          <w:trHeight w:val="900"/>
        </w:trPr>
        <w:tc>
          <w:tcPr>
            <w:tcW w:w="1050" w:type="dxa"/>
            <w:vMerge/>
            <w:vAlign w:val="center"/>
          </w:tcPr>
          <w:p w:rsidR="001F03BB" w:rsidRPr="00C242C7" w:rsidRDefault="001F03BB" w:rsidP="00C242C7">
            <w:pPr>
              <w:rPr>
                <w:color w:val="000000"/>
              </w:rPr>
            </w:pPr>
          </w:p>
        </w:tc>
        <w:tc>
          <w:tcPr>
            <w:tcW w:w="3061" w:type="dxa"/>
            <w:shd w:val="clear" w:color="auto" w:fill="auto"/>
          </w:tcPr>
          <w:p w:rsidR="001F03BB" w:rsidRPr="00C242C7" w:rsidRDefault="001F03BB" w:rsidP="00C242C7">
            <w:pPr>
              <w:rPr>
                <w:color w:val="000000"/>
              </w:rPr>
            </w:pPr>
            <w:r w:rsidRPr="00C242C7">
              <w:rPr>
                <w:b/>
                <w:color w:val="000000"/>
              </w:rPr>
              <w:t>6 группа</w:t>
            </w:r>
            <w:r w:rsidRPr="00C242C7">
              <w:rPr>
                <w:color w:val="000000"/>
              </w:rPr>
              <w:t xml:space="preserve"> Финансовые условия сделки</w:t>
            </w:r>
            <w:r w:rsidRPr="00C242C7">
              <w:rPr>
                <w:color w:val="000000"/>
              </w:rPr>
              <w:br/>
              <w:t>- авансовые платежи есть/нет</w:t>
            </w:r>
            <w:r w:rsidRPr="00C242C7">
              <w:rPr>
                <w:color w:val="000000"/>
              </w:rPr>
              <w:br/>
              <w:t>- обеспечение (банковская гарантия)</w:t>
            </w:r>
          </w:p>
        </w:tc>
        <w:tc>
          <w:tcPr>
            <w:tcW w:w="636" w:type="dxa"/>
            <w:shd w:val="clear" w:color="auto" w:fill="auto"/>
            <w:vAlign w:val="center"/>
          </w:tcPr>
          <w:p w:rsidR="001F03BB" w:rsidRPr="00C242C7" w:rsidRDefault="001F03BB" w:rsidP="00C242C7">
            <w:pPr>
              <w:jc w:val="center"/>
              <w:rPr>
                <w:color w:val="000000"/>
              </w:rPr>
            </w:pPr>
            <w:r w:rsidRPr="00C242C7">
              <w:rPr>
                <w:color w:val="000000"/>
              </w:rPr>
              <w:t>0,23</w:t>
            </w:r>
          </w:p>
        </w:tc>
        <w:tc>
          <w:tcPr>
            <w:tcW w:w="2864" w:type="dxa"/>
            <w:shd w:val="clear" w:color="auto" w:fill="auto"/>
          </w:tcPr>
          <w:p w:rsidR="001F03BB" w:rsidRPr="00C242C7" w:rsidRDefault="001F03BB" w:rsidP="00C242C7">
            <w:pPr>
              <w:rPr>
                <w:i/>
                <w:color w:val="000000"/>
              </w:rPr>
            </w:pPr>
            <w:r w:rsidRPr="00C242C7">
              <w:rPr>
                <w:i/>
                <w:color w:val="000000"/>
              </w:rPr>
              <w:t> </w:t>
            </w:r>
          </w:p>
        </w:tc>
        <w:tc>
          <w:tcPr>
            <w:tcW w:w="866" w:type="dxa"/>
            <w:shd w:val="clear" w:color="auto" w:fill="auto"/>
            <w:noWrap/>
            <w:vAlign w:val="center"/>
          </w:tcPr>
          <w:p w:rsidR="001F03BB" w:rsidRPr="00C242C7" w:rsidRDefault="001F03BB" w:rsidP="00C242C7">
            <w:pPr>
              <w:jc w:val="right"/>
              <w:rPr>
                <w:i/>
                <w:color w:val="000000"/>
              </w:rPr>
            </w:pPr>
            <w:r w:rsidRPr="00C242C7">
              <w:rPr>
                <w:i/>
                <w:color w:val="000000"/>
              </w:rPr>
              <w:t>100%</w:t>
            </w:r>
          </w:p>
        </w:tc>
        <w:tc>
          <w:tcPr>
            <w:tcW w:w="1300" w:type="dxa"/>
            <w:shd w:val="clear" w:color="auto" w:fill="auto"/>
            <w:noWrap/>
            <w:vAlign w:val="center"/>
          </w:tcPr>
          <w:p w:rsidR="001F03BB" w:rsidRPr="00C242C7" w:rsidRDefault="001F03BB" w:rsidP="00C242C7">
            <w:pPr>
              <w:jc w:val="right"/>
              <w:rPr>
                <w:color w:val="000000"/>
              </w:rPr>
            </w:pPr>
            <w:r w:rsidRPr="00C242C7">
              <w:rPr>
                <w:color w:val="000000"/>
              </w:rPr>
              <w:t>0,23</w:t>
            </w:r>
          </w:p>
        </w:tc>
      </w:tr>
      <w:tr w:rsidR="001F03BB" w:rsidTr="00C242C7">
        <w:trPr>
          <w:trHeight w:val="300"/>
        </w:trPr>
        <w:tc>
          <w:tcPr>
            <w:tcW w:w="1050" w:type="dxa"/>
            <w:shd w:val="clear" w:color="auto" w:fill="auto"/>
            <w:textDirection w:val="btLr"/>
            <w:vAlign w:val="bottom"/>
          </w:tcPr>
          <w:p w:rsidR="001F03BB" w:rsidRPr="00C242C7" w:rsidRDefault="001F03BB" w:rsidP="00C242C7">
            <w:pPr>
              <w:rPr>
                <w:color w:val="000000"/>
              </w:rPr>
            </w:pPr>
            <w:r w:rsidRPr="00C242C7">
              <w:rPr>
                <w:color w:val="000000"/>
              </w:rPr>
              <w:t> </w:t>
            </w:r>
          </w:p>
        </w:tc>
        <w:tc>
          <w:tcPr>
            <w:tcW w:w="3061" w:type="dxa"/>
            <w:shd w:val="clear" w:color="auto" w:fill="auto"/>
          </w:tcPr>
          <w:p w:rsidR="001F03BB" w:rsidRPr="00C242C7" w:rsidRDefault="001F03BB" w:rsidP="00C242C7">
            <w:pPr>
              <w:rPr>
                <w:color w:val="000000"/>
              </w:rPr>
            </w:pPr>
            <w:r w:rsidRPr="00C242C7">
              <w:rPr>
                <w:color w:val="000000"/>
              </w:rPr>
              <w:t>Константа**</w:t>
            </w:r>
          </w:p>
        </w:tc>
        <w:tc>
          <w:tcPr>
            <w:tcW w:w="636" w:type="dxa"/>
            <w:shd w:val="clear" w:color="auto" w:fill="auto"/>
            <w:vAlign w:val="center"/>
          </w:tcPr>
          <w:p w:rsidR="001F03BB" w:rsidRPr="00C242C7" w:rsidRDefault="001F03BB" w:rsidP="00C242C7">
            <w:pPr>
              <w:jc w:val="center"/>
              <w:rPr>
                <w:color w:val="000000"/>
              </w:rPr>
            </w:pPr>
            <w:r w:rsidRPr="00C242C7">
              <w:rPr>
                <w:color w:val="000000"/>
              </w:rPr>
              <w:t>-0,37</w:t>
            </w:r>
          </w:p>
        </w:tc>
        <w:tc>
          <w:tcPr>
            <w:tcW w:w="2864" w:type="dxa"/>
            <w:shd w:val="clear" w:color="auto" w:fill="auto"/>
          </w:tcPr>
          <w:p w:rsidR="001F03BB" w:rsidRPr="00C242C7" w:rsidRDefault="001F03BB" w:rsidP="00C242C7">
            <w:pPr>
              <w:rPr>
                <w:i/>
                <w:color w:val="000000"/>
              </w:rPr>
            </w:pPr>
            <w:r w:rsidRPr="00C242C7">
              <w:rPr>
                <w:i/>
                <w:color w:val="000000"/>
              </w:rPr>
              <w:t> </w:t>
            </w:r>
          </w:p>
        </w:tc>
        <w:tc>
          <w:tcPr>
            <w:tcW w:w="866" w:type="dxa"/>
            <w:shd w:val="clear" w:color="auto" w:fill="auto"/>
            <w:noWrap/>
            <w:vAlign w:val="bottom"/>
          </w:tcPr>
          <w:p w:rsidR="001F03BB" w:rsidRPr="00C242C7" w:rsidRDefault="001F03BB" w:rsidP="00C242C7">
            <w:pPr>
              <w:rPr>
                <w:i/>
                <w:color w:val="000000"/>
              </w:rPr>
            </w:pPr>
            <w:r w:rsidRPr="00C242C7">
              <w:rPr>
                <w:i/>
                <w:color w:val="000000"/>
              </w:rPr>
              <w:t> </w:t>
            </w:r>
          </w:p>
        </w:tc>
        <w:tc>
          <w:tcPr>
            <w:tcW w:w="1300" w:type="dxa"/>
            <w:shd w:val="clear" w:color="auto" w:fill="auto"/>
            <w:noWrap/>
            <w:vAlign w:val="bottom"/>
          </w:tcPr>
          <w:p w:rsidR="001F03BB" w:rsidRPr="00C242C7" w:rsidRDefault="001F03BB" w:rsidP="00C242C7">
            <w:pPr>
              <w:jc w:val="right"/>
              <w:rPr>
                <w:color w:val="000000"/>
              </w:rPr>
            </w:pPr>
            <w:r w:rsidRPr="00C242C7">
              <w:rPr>
                <w:color w:val="000000"/>
              </w:rPr>
              <w:t>-0,37</w:t>
            </w:r>
          </w:p>
        </w:tc>
      </w:tr>
    </w:tbl>
    <w:p w:rsidR="001F03BB" w:rsidRDefault="001F03BB" w:rsidP="00C242C7">
      <w:pPr>
        <w:tabs>
          <w:tab w:val="num" w:pos="1584"/>
        </w:tabs>
        <w:jc w:val="both"/>
        <w:rPr>
          <w:i/>
        </w:rPr>
      </w:pPr>
    </w:p>
    <w:p w:rsidR="00D74BF3" w:rsidRPr="003D53D2" w:rsidRDefault="00D74BF3" w:rsidP="00C242C7">
      <w:pPr>
        <w:tabs>
          <w:tab w:val="num" w:pos="1584"/>
        </w:tabs>
        <w:jc w:val="both"/>
        <w:rPr>
          <w:i/>
        </w:rPr>
      </w:pPr>
      <w:r w:rsidRPr="003D53D2">
        <w:rPr>
          <w:i/>
        </w:rPr>
        <w:t>*Начальная (максимальная) цена для закупочных процедур</w:t>
      </w:r>
      <w:r w:rsidRPr="003D53D2">
        <w:t xml:space="preserve">, </w:t>
      </w:r>
      <w:r w:rsidRPr="003D53D2">
        <w:rPr>
          <w:i/>
        </w:rPr>
        <w:t>участниками которых могут быть только субъекты малого и среднего предпринимательства</w:t>
      </w:r>
    </w:p>
    <w:p w:rsidR="00D74BF3" w:rsidRPr="003D53D2" w:rsidRDefault="00D74BF3" w:rsidP="00C242C7">
      <w:pPr>
        <w:tabs>
          <w:tab w:val="num" w:pos="1584"/>
        </w:tabs>
        <w:jc w:val="both"/>
        <w:rPr>
          <w:i/>
        </w:rPr>
      </w:pPr>
      <w:r w:rsidRPr="003D53D2">
        <w:rPr>
          <w:i/>
        </w:rPr>
        <w:lastRenderedPageBreak/>
        <w:t xml:space="preserve">**В процессе статистической обработки экспертных мнений и поиска весовых коэффициентов при помощи регрессионного пакета анализа </w:t>
      </w:r>
      <w:r w:rsidRPr="003D53D2">
        <w:rPr>
          <w:i/>
          <w:lang w:val="en-US"/>
        </w:rPr>
        <w:t>MS</w:t>
      </w:r>
      <w:r w:rsidRPr="003D53D2">
        <w:rPr>
          <w:i/>
        </w:rPr>
        <w:t xml:space="preserve"> </w:t>
      </w:r>
      <w:r w:rsidRPr="003D53D2">
        <w:rPr>
          <w:i/>
          <w:lang w:val="en-US"/>
        </w:rPr>
        <w:t>Excel</w:t>
      </w:r>
      <w:r w:rsidRPr="003D53D2">
        <w:rPr>
          <w:i/>
        </w:rPr>
        <w:t xml:space="preserve"> наиболее точное решение было получено при ненулевой константе</w:t>
      </w:r>
    </w:p>
    <w:p w:rsidR="00D74BF3" w:rsidRDefault="00D74BF3" w:rsidP="00C242C7">
      <w:pPr>
        <w:pStyle w:val="aa"/>
        <w:numPr>
          <w:ilvl w:val="1"/>
          <w:numId w:val="1"/>
        </w:numPr>
        <w:spacing w:before="120" w:after="120"/>
        <w:ind w:left="0" w:firstLine="0"/>
        <w:jc w:val="both"/>
      </w:pPr>
      <w:r w:rsidRPr="003D53D2">
        <w:t>Веса для каждой группы показателей определены на основе статистической обработки экспертных мнений о степени значимости финансово-экономических критериев при проведении финансово-экономической экспертизы.</w:t>
      </w:r>
    </w:p>
    <w:p w:rsidR="000E4B99" w:rsidRPr="003D53D2" w:rsidRDefault="000E4B99" w:rsidP="00C242C7">
      <w:pPr>
        <w:pStyle w:val="aa"/>
        <w:spacing w:before="120" w:after="120"/>
        <w:ind w:left="0"/>
        <w:jc w:val="both"/>
      </w:pPr>
    </w:p>
    <w:p w:rsidR="00D74BF3" w:rsidRPr="00D177A1" w:rsidRDefault="00D74BF3" w:rsidP="00416968">
      <w:pPr>
        <w:pStyle w:val="1"/>
      </w:pPr>
      <w:bookmarkStart w:id="67" w:name="_Toc326066018"/>
      <w:bookmarkStart w:id="68" w:name="_Toc326066288"/>
      <w:bookmarkStart w:id="69" w:name="_Toc326067319"/>
      <w:bookmarkStart w:id="70" w:name="_Toc516132528"/>
      <w:bookmarkStart w:id="71" w:name="_Toc518302240"/>
      <w:bookmarkStart w:id="72" w:name="_Toc322961183"/>
      <w:r w:rsidRPr="00D177A1">
        <w:t>Отборочная стадия</w:t>
      </w:r>
      <w:bookmarkEnd w:id="67"/>
      <w:bookmarkEnd w:id="68"/>
      <w:bookmarkEnd w:id="69"/>
      <w:bookmarkEnd w:id="70"/>
      <w:bookmarkEnd w:id="71"/>
      <w:r w:rsidRPr="00D177A1">
        <w:t xml:space="preserve"> </w:t>
      </w:r>
      <w:bookmarkEnd w:id="72"/>
    </w:p>
    <w:p w:rsidR="00D74BF3" w:rsidRPr="003D53D2" w:rsidRDefault="00D74BF3" w:rsidP="00C242C7">
      <w:pPr>
        <w:pStyle w:val="aa"/>
        <w:numPr>
          <w:ilvl w:val="1"/>
          <w:numId w:val="1"/>
        </w:numPr>
        <w:spacing w:before="120" w:after="120"/>
        <w:ind w:left="0" w:firstLine="0"/>
        <w:jc w:val="both"/>
      </w:pPr>
      <w:bookmarkStart w:id="73" w:name="_Ref186543939"/>
      <w:r w:rsidRPr="003D53D2">
        <w:t>Первичная оценка по шкале от 0 до 1, полученная в результате применения балльно-весового метода, используется на отборочной стадии для принятия решения о соответствии/несоответствии участника закупочной процедуры требованиям закупочной документации и настоящей Методики, а именно участник должен:</w:t>
      </w:r>
    </w:p>
    <w:p w:rsidR="00D74BF3" w:rsidRPr="003D53D2" w:rsidRDefault="00D74BF3" w:rsidP="00C242C7">
      <w:pPr>
        <w:numPr>
          <w:ilvl w:val="0"/>
          <w:numId w:val="12"/>
        </w:numPr>
        <w:ind w:left="0" w:firstLine="0"/>
        <w:jc w:val="both"/>
      </w:pPr>
      <w:r w:rsidRPr="003D53D2">
        <w:t>обладать достаточной финансовой устойчивостью;</w:t>
      </w:r>
    </w:p>
    <w:p w:rsidR="00D74BF3" w:rsidRPr="003D53D2" w:rsidRDefault="00D74BF3" w:rsidP="00C242C7">
      <w:pPr>
        <w:numPr>
          <w:ilvl w:val="0"/>
          <w:numId w:val="12"/>
        </w:numPr>
        <w:ind w:left="0" w:firstLine="0"/>
        <w:jc w:val="both"/>
      </w:pPr>
      <w:r w:rsidRPr="003D53D2">
        <w:t>иметь достаточно продолжительную историю существования и релевантный опыт, в оценке с точки зрения финансово-экономических критериев;</w:t>
      </w:r>
    </w:p>
    <w:p w:rsidR="00D74BF3" w:rsidRPr="003D53D2" w:rsidRDefault="00D74BF3" w:rsidP="00C242C7">
      <w:pPr>
        <w:numPr>
          <w:ilvl w:val="0"/>
          <w:numId w:val="12"/>
        </w:numPr>
        <w:ind w:left="0" w:firstLine="0"/>
        <w:jc w:val="both"/>
      </w:pPr>
      <w:r w:rsidRPr="003D53D2">
        <w:t>иметь необходимые финансовые ресурсы;</w:t>
      </w:r>
    </w:p>
    <w:p w:rsidR="00D74BF3" w:rsidRPr="003D53D2" w:rsidRDefault="00D74BF3" w:rsidP="00C242C7">
      <w:pPr>
        <w:numPr>
          <w:ilvl w:val="0"/>
          <w:numId w:val="12"/>
        </w:numPr>
        <w:ind w:left="0" w:firstLine="0"/>
        <w:jc w:val="both"/>
      </w:pPr>
      <w:r w:rsidRPr="003D53D2">
        <w:t>оценка финансовых условий сделки (наличие/отсутствие аванса, банковской гарантии) должна обеспечить минимизацию принимаемых кредитных рисков.</w:t>
      </w:r>
    </w:p>
    <w:p w:rsidR="00D74BF3" w:rsidRPr="003D53D2" w:rsidRDefault="00D74BF3" w:rsidP="00C242C7">
      <w:pPr>
        <w:pStyle w:val="aa"/>
        <w:numPr>
          <w:ilvl w:val="1"/>
          <w:numId w:val="1"/>
        </w:numPr>
        <w:spacing w:before="120" w:after="120"/>
        <w:ind w:left="0" w:firstLine="0"/>
        <w:jc w:val="both"/>
      </w:pPr>
      <w:r w:rsidRPr="003D53D2">
        <w:t>Настоящей Методикой устанавливается, что предложение участников закупочной процедуры, набравших в результате применения балльно-весового подхода менее 0,45 баллов по шкале от 0 до 1, должно быть рекомендовано к отклонению на отборочной стадии. Количество баллов от 0,45 до 0.5 соответствует пограничной ситуации, в которой для принятия решения о соответствии / несоответствии в рамках финансово-экономической экспертизы требуется участие Эксперта.</w:t>
      </w:r>
    </w:p>
    <w:p w:rsidR="00D74BF3" w:rsidRPr="003D53D2" w:rsidRDefault="00D74BF3" w:rsidP="00C242C7">
      <w:pPr>
        <w:pStyle w:val="aa"/>
        <w:numPr>
          <w:ilvl w:val="1"/>
          <w:numId w:val="1"/>
        </w:numPr>
        <w:spacing w:before="120" w:after="120"/>
        <w:ind w:left="0" w:firstLine="0"/>
        <w:jc w:val="both"/>
      </w:pPr>
      <w:r w:rsidRPr="003D53D2">
        <w:t>Кроме этого для принятия решения о соответствии/несоответствии используется система стоп и риск-факторов.</w:t>
      </w:r>
    </w:p>
    <w:p w:rsidR="00D74BF3" w:rsidRPr="003D53D2" w:rsidRDefault="00D74BF3" w:rsidP="00C242C7">
      <w:pPr>
        <w:jc w:val="both"/>
      </w:pPr>
      <w:r w:rsidRPr="003D53D2">
        <w:rPr>
          <w:b/>
        </w:rPr>
        <w:t>Стоп-фактор</w:t>
      </w:r>
      <w:r w:rsidRPr="003D53D2">
        <w:t xml:space="preserve"> – фактор, реализация которого должна являться основанием для отклонения предложения участника закупочной процедуры и принятия решения о несоответствии. В рамках финансово-экономической экспертизы предусмотрены следующие стоп-факторы:</w:t>
      </w:r>
    </w:p>
    <w:p w:rsidR="00D74BF3" w:rsidRPr="003D53D2" w:rsidRDefault="00D74BF3" w:rsidP="00C242C7">
      <w:pPr>
        <w:numPr>
          <w:ilvl w:val="0"/>
          <w:numId w:val="12"/>
        </w:numPr>
        <w:ind w:left="0" w:firstLine="0"/>
        <w:jc w:val="both"/>
      </w:pPr>
      <w:r w:rsidRPr="003D53D2">
        <w:t>существенное несоответствие масштабов деятельности участника закупочной процедуры сумме закупки (если стоимость предложения, указанная в оферте*, более чем в 1,4 раза превышает годовую выручку компании или более чем в 2,8 раза превосходит ее суммарные активы);</w:t>
      </w:r>
    </w:p>
    <w:p w:rsidR="00D74BF3" w:rsidRPr="003D53D2" w:rsidRDefault="00D74BF3" w:rsidP="00C242C7">
      <w:pPr>
        <w:numPr>
          <w:ilvl w:val="0"/>
          <w:numId w:val="12"/>
        </w:numPr>
        <w:ind w:left="0" w:firstLine="0"/>
        <w:jc w:val="both"/>
      </w:pPr>
      <w:r w:rsidRPr="003D53D2">
        <w:t>отрицательное значение 3-го раздела баланса (капитал и резервы) на последнюю отчетную дату;</w:t>
      </w:r>
    </w:p>
    <w:p w:rsidR="00D74BF3" w:rsidRPr="003D53D2" w:rsidRDefault="00D74BF3" w:rsidP="00C242C7">
      <w:pPr>
        <w:numPr>
          <w:ilvl w:val="0"/>
          <w:numId w:val="12"/>
        </w:numPr>
        <w:ind w:left="0" w:firstLine="0"/>
        <w:jc w:val="both"/>
      </w:pPr>
      <w:r w:rsidRPr="003D53D2">
        <w:t>наличие у участника закупочной процедуры задолженности по начисленным налогам, сборам и иным обязательным платежам, размер которой превышает 25 (двадцать пять) процентов балансовой стоимости активов участника согласно данным бухгалтерской отчетности на последнюю отчетную дату;</w:t>
      </w:r>
    </w:p>
    <w:p w:rsidR="00D74BF3" w:rsidRPr="003D53D2" w:rsidRDefault="00D74BF3" w:rsidP="00C242C7">
      <w:pPr>
        <w:numPr>
          <w:ilvl w:val="0"/>
          <w:numId w:val="12"/>
        </w:numPr>
        <w:ind w:left="0" w:firstLine="0"/>
        <w:jc w:val="both"/>
      </w:pPr>
      <w:r w:rsidRPr="003D53D2">
        <w:t>неудовлетворительное финансовое состояние (если независимо от качественной оценки бизнес-рисков, финансовое состояние участника закупочной процедуры, будучи оценено только по группе финансовых показателей, неудовлетворительно – средняя оценка по группе финансовых показателей меньше 0,2 по шкале от 0 до 1).</w:t>
      </w:r>
    </w:p>
    <w:p w:rsidR="00D74BF3" w:rsidRPr="003D53D2" w:rsidRDefault="00D74BF3" w:rsidP="00C242C7">
      <w:pPr>
        <w:jc w:val="both"/>
      </w:pPr>
      <w:r w:rsidRPr="003D53D2">
        <w:rPr>
          <w:b/>
        </w:rPr>
        <w:t>Риск-фактор</w:t>
      </w:r>
      <w:r w:rsidRPr="003D53D2">
        <w:t xml:space="preserve"> – фактор, реализация которого может являться основанием для понижения Экспертом итоговой оценки. В рамках финансово-экономической экспертизы предусмотрены следующие риск-факторы:</w:t>
      </w:r>
    </w:p>
    <w:p w:rsidR="00D74BF3" w:rsidRPr="003D53D2" w:rsidRDefault="00D74BF3" w:rsidP="00C242C7">
      <w:pPr>
        <w:numPr>
          <w:ilvl w:val="0"/>
          <w:numId w:val="13"/>
        </w:numPr>
        <w:ind w:left="0" w:firstLine="0"/>
        <w:jc w:val="both"/>
      </w:pPr>
      <w:r w:rsidRPr="003D53D2">
        <w:lastRenderedPageBreak/>
        <w:t>непокрытый убыток в балансе на последнюю отчетную дату;</w:t>
      </w:r>
    </w:p>
    <w:p w:rsidR="00D74BF3" w:rsidRPr="003D53D2" w:rsidRDefault="00D74BF3" w:rsidP="00C242C7">
      <w:pPr>
        <w:numPr>
          <w:ilvl w:val="0"/>
          <w:numId w:val="13"/>
        </w:numPr>
        <w:ind w:left="0" w:firstLine="0"/>
        <w:jc w:val="both"/>
      </w:pPr>
      <w:r w:rsidRPr="003D53D2">
        <w:t>убытки за последний отчетный период или по итогам последнего года;</w:t>
      </w:r>
    </w:p>
    <w:p w:rsidR="00D74BF3" w:rsidRPr="003D53D2" w:rsidRDefault="00D74BF3" w:rsidP="00C242C7">
      <w:pPr>
        <w:numPr>
          <w:ilvl w:val="0"/>
          <w:numId w:val="13"/>
        </w:numPr>
        <w:ind w:left="0" w:firstLine="0"/>
        <w:jc w:val="both"/>
      </w:pPr>
      <w:r w:rsidRPr="003D53D2">
        <w:t>срок существования компании менее года;</w:t>
      </w:r>
    </w:p>
    <w:p w:rsidR="00D74BF3" w:rsidRPr="003D53D2" w:rsidRDefault="00D74BF3" w:rsidP="00C242C7">
      <w:pPr>
        <w:numPr>
          <w:ilvl w:val="0"/>
          <w:numId w:val="13"/>
        </w:numPr>
        <w:ind w:left="0" w:firstLine="0"/>
        <w:jc w:val="both"/>
      </w:pPr>
      <w:r w:rsidRPr="003D53D2">
        <w:t>сделка является достаточно крупной для участника закупочной процедуры (если стоимость предложения, указанная в оферте*, превышает 80% годовой выручки компании или более чем в 1,6 раз превосходит величину ее суммарных активов);</w:t>
      </w:r>
    </w:p>
    <w:p w:rsidR="00D74BF3" w:rsidRPr="003D53D2" w:rsidRDefault="00D74BF3" w:rsidP="00C242C7">
      <w:pPr>
        <w:numPr>
          <w:ilvl w:val="0"/>
          <w:numId w:val="13"/>
        </w:numPr>
        <w:ind w:left="0" w:firstLine="0"/>
        <w:jc w:val="both"/>
      </w:pPr>
      <w:r w:rsidRPr="003D53D2">
        <w:t>если договором предусматривается выплата аванса без покрытия банковской гарантией.</w:t>
      </w:r>
      <w:r w:rsidRPr="003D53D2">
        <w:rPr>
          <w:i/>
        </w:rPr>
        <w:t xml:space="preserve"> </w:t>
      </w:r>
    </w:p>
    <w:p w:rsidR="00D74BF3" w:rsidRPr="003D53D2" w:rsidRDefault="00D74BF3" w:rsidP="00C242C7">
      <w:pPr>
        <w:jc w:val="both"/>
      </w:pPr>
      <w:r w:rsidRPr="003D53D2">
        <w:rPr>
          <w:i/>
        </w:rPr>
        <w:t>*Начальная (максимальная) цена для закупочных процедур</w:t>
      </w:r>
      <w:r w:rsidRPr="003D53D2">
        <w:t xml:space="preserve">, </w:t>
      </w:r>
      <w:r w:rsidRPr="003D53D2">
        <w:rPr>
          <w:i/>
        </w:rPr>
        <w:t>участниками которых могут быть только субъекты малого и среднего предпринимательства</w:t>
      </w:r>
    </w:p>
    <w:p w:rsidR="00D74BF3" w:rsidRPr="003D53D2" w:rsidRDefault="00D74BF3" w:rsidP="00C242C7">
      <w:pPr>
        <w:pStyle w:val="aa"/>
        <w:numPr>
          <w:ilvl w:val="1"/>
          <w:numId w:val="1"/>
        </w:numPr>
        <w:spacing w:before="120" w:after="120"/>
        <w:ind w:left="0" w:firstLine="0"/>
        <w:jc w:val="both"/>
      </w:pPr>
      <w:r w:rsidRPr="003D53D2">
        <w:t>На основе совместного применения балльно-весового подхода и системы стоп и риск-факторов по описанному ниже алгоритму принимается решение о прохождении участником отборочной стадии (соответствии / несоответствии)</w:t>
      </w:r>
    </w:p>
    <w:p w:rsidR="00D74BF3" w:rsidRPr="003D53D2" w:rsidRDefault="00D74BF3" w:rsidP="00C242C7">
      <w:pPr>
        <w:jc w:val="right"/>
      </w:pPr>
      <w:r w:rsidRPr="003D53D2">
        <w:t>Таблица алгоритм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D74BF3" w:rsidRPr="003D53D2" w:rsidTr="00C242C7">
        <w:trPr>
          <w:trHeight w:val="542"/>
        </w:trPr>
        <w:tc>
          <w:tcPr>
            <w:tcW w:w="3828" w:type="dxa"/>
            <w:shd w:val="clear" w:color="auto" w:fill="auto"/>
            <w:noWrap/>
            <w:vAlign w:val="center"/>
          </w:tcPr>
          <w:p w:rsidR="00D74BF3" w:rsidRPr="003D53D2" w:rsidRDefault="00D74BF3" w:rsidP="00C242C7">
            <w:pPr>
              <w:jc w:val="center"/>
              <w:rPr>
                <w:color w:val="000000"/>
              </w:rPr>
            </w:pPr>
            <w:r w:rsidRPr="003D53D2">
              <w:rPr>
                <w:color w:val="000000"/>
              </w:rPr>
              <w:t>Решение о соответствии/несоответствии</w:t>
            </w:r>
          </w:p>
        </w:tc>
        <w:tc>
          <w:tcPr>
            <w:tcW w:w="6095" w:type="dxa"/>
            <w:shd w:val="clear" w:color="auto" w:fill="auto"/>
            <w:noWrap/>
            <w:vAlign w:val="center"/>
          </w:tcPr>
          <w:p w:rsidR="00D74BF3" w:rsidRPr="003D53D2" w:rsidRDefault="00D74BF3" w:rsidP="00C242C7">
            <w:pPr>
              <w:jc w:val="center"/>
              <w:rPr>
                <w:color w:val="000000"/>
              </w:rPr>
            </w:pPr>
            <w:r w:rsidRPr="003D53D2">
              <w:rPr>
                <w:color w:val="000000"/>
              </w:rPr>
              <w:t>Описание</w:t>
            </w:r>
          </w:p>
        </w:tc>
      </w:tr>
      <w:tr w:rsidR="00D74BF3" w:rsidRPr="003D53D2" w:rsidTr="00C242C7">
        <w:trPr>
          <w:trHeight w:val="576"/>
        </w:trPr>
        <w:tc>
          <w:tcPr>
            <w:tcW w:w="3828" w:type="dxa"/>
            <w:shd w:val="clear" w:color="000000" w:fill="FFE5E5"/>
            <w:noWrap/>
            <w:vAlign w:val="center"/>
          </w:tcPr>
          <w:p w:rsidR="00D74BF3" w:rsidRPr="003D53D2" w:rsidRDefault="00D74BF3" w:rsidP="00C242C7">
            <w:pPr>
              <w:rPr>
                <w:color w:val="000000"/>
              </w:rPr>
            </w:pPr>
            <w:r w:rsidRPr="003D53D2">
              <w:rPr>
                <w:color w:val="000000"/>
              </w:rPr>
              <w:t>Не соответствует</w:t>
            </w:r>
          </w:p>
        </w:tc>
        <w:tc>
          <w:tcPr>
            <w:tcW w:w="6095" w:type="dxa"/>
            <w:shd w:val="clear" w:color="000000" w:fill="FFE5E5"/>
            <w:noWrap/>
          </w:tcPr>
          <w:p w:rsidR="00D74BF3" w:rsidRPr="003D53D2" w:rsidRDefault="00D74BF3" w:rsidP="00C242C7">
            <w:pPr>
              <w:jc w:val="both"/>
              <w:rPr>
                <w:color w:val="000000"/>
              </w:rPr>
            </w:pPr>
            <w:r w:rsidRPr="003D53D2">
              <w:rPr>
                <w:color w:val="000000"/>
              </w:rPr>
              <w:t xml:space="preserve">Первичная оценка </w:t>
            </w:r>
            <w:r w:rsidRPr="003D53D2">
              <w:rPr>
                <w:b/>
                <w:color w:val="000000"/>
              </w:rPr>
              <w:t>менее 0,45 баллов</w:t>
            </w:r>
            <w:r w:rsidRPr="003D53D2">
              <w:rPr>
                <w:color w:val="000000"/>
              </w:rPr>
              <w:t xml:space="preserve"> (по шкале от 0 до 1) или имеются стоп-факторы</w:t>
            </w:r>
          </w:p>
        </w:tc>
      </w:tr>
      <w:tr w:rsidR="00D74BF3" w:rsidRPr="003D53D2" w:rsidTr="00C242C7">
        <w:trPr>
          <w:trHeight w:val="1111"/>
        </w:trPr>
        <w:tc>
          <w:tcPr>
            <w:tcW w:w="3828" w:type="dxa"/>
            <w:shd w:val="clear" w:color="000000" w:fill="F8FFB9"/>
            <w:noWrap/>
            <w:vAlign w:val="center"/>
          </w:tcPr>
          <w:p w:rsidR="00D74BF3" w:rsidRPr="003D53D2" w:rsidRDefault="00D74BF3" w:rsidP="00C242C7">
            <w:pPr>
              <w:rPr>
                <w:color w:val="000000"/>
              </w:rPr>
            </w:pPr>
            <w:r w:rsidRPr="003D53D2">
              <w:rPr>
                <w:color w:val="000000"/>
              </w:rPr>
              <w:t>Пограничная ситуация (для принятия решения о соответствии/несоответствии требуется участие Эксперта)</w:t>
            </w:r>
          </w:p>
        </w:tc>
        <w:tc>
          <w:tcPr>
            <w:tcW w:w="6095" w:type="dxa"/>
            <w:shd w:val="clear" w:color="000000" w:fill="F8FFB9"/>
            <w:noWrap/>
          </w:tcPr>
          <w:p w:rsidR="00D74BF3" w:rsidRPr="003D53D2" w:rsidRDefault="00D74BF3" w:rsidP="00C242C7">
            <w:pPr>
              <w:jc w:val="both"/>
              <w:rPr>
                <w:color w:val="000000"/>
              </w:rPr>
            </w:pPr>
            <w:r w:rsidRPr="003D53D2">
              <w:rPr>
                <w:color w:val="000000"/>
              </w:rPr>
              <w:t xml:space="preserve">Первичная оценка </w:t>
            </w:r>
            <w:r w:rsidRPr="003D53D2">
              <w:rPr>
                <w:b/>
                <w:color w:val="000000"/>
              </w:rPr>
              <w:t>от 0,45 до 0,5 баллов</w:t>
            </w:r>
            <w:r w:rsidRPr="003D53D2">
              <w:rPr>
                <w:color w:val="000000"/>
              </w:rPr>
              <w:t xml:space="preserve"> (по шкале от 0 до 1) или имеется более двух риск-факторов, стоп-факторы при этом отсутствуют</w:t>
            </w:r>
          </w:p>
        </w:tc>
      </w:tr>
      <w:tr w:rsidR="00D74BF3" w:rsidRPr="003D53D2" w:rsidTr="00C242C7">
        <w:trPr>
          <w:trHeight w:val="556"/>
        </w:trPr>
        <w:tc>
          <w:tcPr>
            <w:tcW w:w="3828" w:type="dxa"/>
            <w:shd w:val="clear" w:color="000000" w:fill="C6FED1"/>
            <w:noWrap/>
            <w:vAlign w:val="center"/>
          </w:tcPr>
          <w:p w:rsidR="00D74BF3" w:rsidRPr="003D53D2" w:rsidRDefault="00D74BF3" w:rsidP="00C242C7">
            <w:pPr>
              <w:rPr>
                <w:color w:val="000000"/>
              </w:rPr>
            </w:pPr>
            <w:r w:rsidRPr="003D53D2">
              <w:rPr>
                <w:color w:val="000000"/>
              </w:rPr>
              <w:t>Соответствует</w:t>
            </w:r>
          </w:p>
        </w:tc>
        <w:tc>
          <w:tcPr>
            <w:tcW w:w="6095" w:type="dxa"/>
            <w:shd w:val="clear" w:color="000000" w:fill="C6FED1"/>
            <w:noWrap/>
          </w:tcPr>
          <w:p w:rsidR="00D74BF3" w:rsidRPr="003D53D2" w:rsidRDefault="00D74BF3" w:rsidP="00C242C7">
            <w:pPr>
              <w:jc w:val="both"/>
              <w:rPr>
                <w:color w:val="000000"/>
              </w:rPr>
            </w:pPr>
            <w:r w:rsidRPr="003D53D2">
              <w:rPr>
                <w:color w:val="000000"/>
              </w:rPr>
              <w:t xml:space="preserve">Первичная оценка </w:t>
            </w:r>
            <w:r w:rsidRPr="003D53D2">
              <w:rPr>
                <w:b/>
                <w:color w:val="000000"/>
              </w:rPr>
              <w:t>более 0,5 баллов</w:t>
            </w:r>
            <w:r w:rsidRPr="003D53D2">
              <w:rPr>
                <w:color w:val="000000"/>
              </w:rPr>
              <w:t xml:space="preserve"> (по шкале от 0 до 1), стоп-факторы отсутствуют, имеется не более двух риск-факторов</w:t>
            </w:r>
          </w:p>
        </w:tc>
      </w:tr>
    </w:tbl>
    <w:p w:rsidR="00D74BF3" w:rsidRPr="003D53D2" w:rsidRDefault="00D74BF3" w:rsidP="00C242C7">
      <w:pPr>
        <w:jc w:val="both"/>
      </w:pPr>
    </w:p>
    <w:p w:rsidR="00D74BF3" w:rsidRPr="003D53D2" w:rsidRDefault="00D74BF3" w:rsidP="00C242C7">
      <w:pPr>
        <w:pStyle w:val="aa"/>
        <w:numPr>
          <w:ilvl w:val="1"/>
          <w:numId w:val="1"/>
        </w:numPr>
        <w:spacing w:before="120" w:after="120"/>
        <w:ind w:left="0" w:firstLine="0"/>
        <w:jc w:val="both"/>
      </w:pPr>
      <w:r w:rsidRPr="003D53D2">
        <w:t>По итогам отборочной стадии в рамках финансово-экономической экспертизы должно быть принято решение о соответствии/несоответствии участника закупочной процедуры требованиям закупочной документации, в том числе настоящей Методики. В случае если на основании применения балльно-весового подхода и системы стоп и риск-факторов сформировалась оценка «не соответствует» или возникла пограничная ситуация, однако если при этом, по мнению Эксперта, имеются достаточные основания для повышения оценки до «соответствует» и допуска участника до оценочной стадии, Экспертом могут быть внесены необходимые корректировки с обоснованием своей позиции в экспертном заключении.</w:t>
      </w:r>
    </w:p>
    <w:p w:rsidR="00D74BF3" w:rsidRPr="003D53D2" w:rsidRDefault="00D74BF3" w:rsidP="00C242C7">
      <w:pPr>
        <w:pStyle w:val="aa"/>
        <w:numPr>
          <w:ilvl w:val="1"/>
          <w:numId w:val="1"/>
        </w:numPr>
        <w:spacing w:before="120" w:after="120"/>
        <w:ind w:left="0" w:firstLine="0"/>
        <w:jc w:val="both"/>
      </w:pPr>
      <w:r w:rsidRPr="003D53D2">
        <w:t>Подробный порядок применения положений Методики Экспертами на отборочной стадии определен в соответствующих разделах приложения 2 к Методике «Алгоритм действия Эксперта при подготовке заключения по направлению финансово-экономической экспертизы с использованием шаблона «Финэкспертиза.xls» и приложения 3 к Методике «Алгоритм действия Эксперта при подготовке заключения по направлению финансово-экономической экспертизы с использованием шаблона «Финэкспертиза_МСП.xls».</w:t>
      </w:r>
    </w:p>
    <w:p w:rsidR="00D74BF3" w:rsidRDefault="00D74BF3" w:rsidP="00C242C7">
      <w:pPr>
        <w:jc w:val="both"/>
      </w:pPr>
    </w:p>
    <w:p w:rsidR="00D74BF3" w:rsidRPr="00D177A1" w:rsidRDefault="00D74BF3" w:rsidP="00416968">
      <w:pPr>
        <w:pStyle w:val="1"/>
      </w:pPr>
      <w:bookmarkStart w:id="74" w:name="_Toc314226186"/>
      <w:bookmarkStart w:id="75" w:name="_Toc322961184"/>
      <w:bookmarkStart w:id="76" w:name="_Toc326066019"/>
      <w:bookmarkStart w:id="77" w:name="_Toc326066289"/>
      <w:bookmarkStart w:id="78" w:name="_Toc326067320"/>
      <w:bookmarkStart w:id="79" w:name="_Toc516132529"/>
      <w:bookmarkStart w:id="80" w:name="_Toc518302241"/>
      <w:bookmarkEnd w:id="73"/>
      <w:r w:rsidRPr="00D177A1">
        <w:t>Оценочная стадия</w:t>
      </w:r>
      <w:bookmarkEnd w:id="74"/>
      <w:bookmarkEnd w:id="75"/>
      <w:bookmarkEnd w:id="76"/>
      <w:bookmarkEnd w:id="77"/>
      <w:bookmarkEnd w:id="78"/>
      <w:bookmarkEnd w:id="79"/>
      <w:bookmarkEnd w:id="80"/>
    </w:p>
    <w:p w:rsidR="00D74BF3" w:rsidRPr="003D53D2" w:rsidRDefault="00D74BF3" w:rsidP="00C242C7">
      <w:pPr>
        <w:pStyle w:val="aa"/>
        <w:numPr>
          <w:ilvl w:val="1"/>
          <w:numId w:val="1"/>
        </w:numPr>
        <w:spacing w:before="120" w:after="120"/>
        <w:ind w:left="0" w:firstLine="0"/>
        <w:jc w:val="both"/>
      </w:pPr>
      <w:r w:rsidRPr="003D53D2">
        <w:t>На оценочной стадии финансово-экономической экспертизы предложения участников закупочной процедуры, прошедших отборочную стадию, ранжируются с учетом оценки их финансового состояния, качественной оценки бизнес-рисков, а также предлагаемых финансовых условий сделки.</w:t>
      </w:r>
    </w:p>
    <w:p w:rsidR="000E4B99" w:rsidRPr="003D53D2" w:rsidRDefault="00D74BF3" w:rsidP="00C242C7">
      <w:pPr>
        <w:pStyle w:val="aa"/>
        <w:numPr>
          <w:ilvl w:val="1"/>
          <w:numId w:val="1"/>
        </w:numPr>
        <w:spacing w:before="120" w:after="120"/>
        <w:ind w:left="0" w:firstLine="0"/>
        <w:jc w:val="both"/>
      </w:pPr>
      <w:r w:rsidRPr="003D53D2">
        <w:lastRenderedPageBreak/>
        <w:t>В основе количественной меры для сравнения участников закупочной процедуры в рамках финансово-экономической экспертизы, также используется первичный балл от 0 до 1, полученный в результате применения балльно-весового подхода. Все компании, набравшие более 0,5 баллов по шкале от 0 до 1 (по которым принято положительное решение на отборочной стадии) ранжируются с присвоением оценки по пятибалльной шкале от 1 до 5. В настоящей Методике ранжир осуществляется переводом первичной шкалы от 0 до 1 в шкалу от 0 до 5 (Таблица перевода).</w:t>
      </w:r>
    </w:p>
    <w:p w:rsidR="00D74BF3" w:rsidRPr="003D53D2" w:rsidRDefault="00D74BF3" w:rsidP="00C242C7">
      <w:pPr>
        <w:spacing w:before="120" w:after="120"/>
        <w:jc w:val="right"/>
      </w:pPr>
      <w:r w:rsidRPr="003D53D2">
        <w:t>Таблица перевода</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9"/>
        <w:gridCol w:w="2122"/>
        <w:gridCol w:w="2976"/>
        <w:gridCol w:w="1623"/>
      </w:tblGrid>
      <w:tr w:rsidR="00D74BF3" w:rsidRPr="003D53D2" w:rsidTr="00C242C7">
        <w:trPr>
          <w:jc w:val="center"/>
        </w:trPr>
        <w:tc>
          <w:tcPr>
            <w:tcW w:w="2989" w:type="dxa"/>
          </w:tcPr>
          <w:p w:rsidR="00D74BF3" w:rsidRPr="003D53D2" w:rsidRDefault="00D74BF3" w:rsidP="00C242C7">
            <w:pPr>
              <w:spacing w:after="60"/>
              <w:jc w:val="center"/>
              <w:rPr>
                <w:b/>
              </w:rPr>
            </w:pPr>
            <w:r w:rsidRPr="003D53D2">
              <w:rPr>
                <w:b/>
              </w:rPr>
              <w:t>Первичный балл (0-1)</w:t>
            </w:r>
          </w:p>
        </w:tc>
        <w:tc>
          <w:tcPr>
            <w:tcW w:w="2122" w:type="dxa"/>
            <w:vAlign w:val="center"/>
          </w:tcPr>
          <w:p w:rsidR="00D74BF3" w:rsidRPr="003D53D2" w:rsidRDefault="00D74BF3" w:rsidP="00C242C7">
            <w:pPr>
              <w:spacing w:after="60"/>
              <w:jc w:val="center"/>
            </w:pPr>
            <w:r w:rsidRPr="003D53D2">
              <w:t>менее 0,45</w:t>
            </w:r>
          </w:p>
        </w:tc>
        <w:tc>
          <w:tcPr>
            <w:tcW w:w="2976" w:type="dxa"/>
            <w:vAlign w:val="center"/>
          </w:tcPr>
          <w:p w:rsidR="00D74BF3" w:rsidRPr="003D53D2" w:rsidRDefault="00D74BF3" w:rsidP="00C242C7">
            <w:pPr>
              <w:spacing w:after="60"/>
              <w:jc w:val="center"/>
            </w:pPr>
            <w:r w:rsidRPr="003D53D2">
              <w:t>от 0,45 до 0,95</w:t>
            </w:r>
          </w:p>
        </w:tc>
        <w:tc>
          <w:tcPr>
            <w:tcW w:w="1623" w:type="dxa"/>
            <w:shd w:val="clear" w:color="auto" w:fill="auto"/>
            <w:vAlign w:val="center"/>
          </w:tcPr>
          <w:p w:rsidR="00D74BF3" w:rsidRPr="003D53D2" w:rsidRDefault="00D74BF3" w:rsidP="00C242C7">
            <w:pPr>
              <w:spacing w:after="60"/>
              <w:jc w:val="center"/>
            </w:pPr>
            <w:r w:rsidRPr="003D53D2">
              <w:t>более 0,95</w:t>
            </w:r>
          </w:p>
        </w:tc>
      </w:tr>
      <w:tr w:rsidR="00D74BF3" w:rsidRPr="003D53D2" w:rsidTr="00C242C7">
        <w:trPr>
          <w:trHeight w:val="773"/>
          <w:jc w:val="center"/>
        </w:trPr>
        <w:tc>
          <w:tcPr>
            <w:tcW w:w="2989" w:type="dxa"/>
            <w:vAlign w:val="center"/>
          </w:tcPr>
          <w:p w:rsidR="00D74BF3" w:rsidRPr="003D53D2" w:rsidRDefault="00D74BF3" w:rsidP="00C242C7">
            <w:pPr>
              <w:spacing w:after="60"/>
              <w:jc w:val="center"/>
              <w:rPr>
                <w:b/>
                <w:bCs/>
              </w:rPr>
            </w:pPr>
            <w:r w:rsidRPr="003D53D2">
              <w:rPr>
                <w:b/>
              </w:rPr>
              <w:t>Итоговая оценка (0-5)</w:t>
            </w:r>
          </w:p>
        </w:tc>
        <w:tc>
          <w:tcPr>
            <w:tcW w:w="2122" w:type="dxa"/>
            <w:vAlign w:val="center"/>
          </w:tcPr>
          <w:p w:rsidR="00D74BF3" w:rsidRPr="003D53D2" w:rsidRDefault="00D74BF3" w:rsidP="00C242C7">
            <w:pPr>
              <w:spacing w:after="60"/>
              <w:jc w:val="center"/>
              <w:rPr>
                <w:bCs/>
              </w:rPr>
            </w:pPr>
            <w:r w:rsidRPr="003D53D2">
              <w:rPr>
                <w:bCs/>
              </w:rPr>
              <w:t>0</w:t>
            </w:r>
          </w:p>
        </w:tc>
        <w:tc>
          <w:tcPr>
            <w:tcW w:w="2976" w:type="dxa"/>
            <w:vAlign w:val="center"/>
          </w:tcPr>
          <w:p w:rsidR="00D74BF3" w:rsidRPr="003D53D2" w:rsidRDefault="00D74BF3" w:rsidP="00C242C7">
            <w:pPr>
              <w:spacing w:after="60"/>
              <w:jc w:val="center"/>
              <w:rPr>
                <w:bCs/>
              </w:rPr>
            </w:pPr>
            <m:oMathPara>
              <m:oMath>
                <m:r>
                  <w:rPr>
                    <w:rFonts w:ascii="Cambria Math" w:hAnsi="Cambria Math"/>
                    <w:lang w:val="en-US"/>
                  </w:rPr>
                  <m:t>ИО=5*</m:t>
                </m:r>
                <m:sSup>
                  <m:sSupPr>
                    <m:ctrlPr>
                      <w:rPr>
                        <w:rFonts w:ascii="Cambria Math" w:eastAsia="Calibri" w:hAnsi="Cambria Math"/>
                        <w:i/>
                        <w:lang w:val="en-US" w:eastAsia="en-US"/>
                      </w:rPr>
                    </m:ctrlPr>
                  </m:sSupPr>
                  <m:e>
                    <m:f>
                      <m:fPr>
                        <m:ctrlPr>
                          <w:rPr>
                            <w:rFonts w:ascii="Cambria Math" w:eastAsia="Calibri" w:hAnsi="Cambria Math"/>
                            <w:i/>
                            <w:lang w:val="en-US" w:eastAsia="en-US"/>
                          </w:rPr>
                        </m:ctrlPr>
                      </m:fPr>
                      <m:num>
                        <m:r>
                          <w:rPr>
                            <w:rFonts w:ascii="Cambria Math" w:hAnsi="Cambria Math"/>
                            <w:lang w:val="en-US"/>
                          </w:rPr>
                          <m:t>ПБ-0,45</m:t>
                        </m:r>
                      </m:num>
                      <m:den>
                        <m:r>
                          <w:rPr>
                            <w:rFonts w:ascii="Cambria Math" w:hAnsi="Cambria Math"/>
                            <w:lang w:val="en-US"/>
                          </w:rPr>
                          <m:t>0,95-0,45</m:t>
                        </m:r>
                      </m:den>
                    </m:f>
                  </m:e>
                  <m:sup>
                    <m:r>
                      <w:rPr>
                        <w:rFonts w:ascii="Cambria Math" w:hAnsi="Cambria Math"/>
                        <w:lang w:val="en-US"/>
                      </w:rPr>
                      <m:t>*</m:t>
                    </m:r>
                  </m:sup>
                </m:sSup>
              </m:oMath>
            </m:oMathPara>
          </w:p>
        </w:tc>
        <w:tc>
          <w:tcPr>
            <w:tcW w:w="1623" w:type="dxa"/>
            <w:shd w:val="clear" w:color="auto" w:fill="auto"/>
            <w:vAlign w:val="center"/>
          </w:tcPr>
          <w:p w:rsidR="00D74BF3" w:rsidRPr="003D53D2" w:rsidRDefault="00D74BF3" w:rsidP="00C242C7">
            <w:pPr>
              <w:spacing w:after="60"/>
              <w:jc w:val="center"/>
            </w:pPr>
            <w:r w:rsidRPr="003D53D2">
              <w:t>5</w:t>
            </w:r>
          </w:p>
        </w:tc>
      </w:tr>
    </w:tbl>
    <w:p w:rsidR="00D74BF3" w:rsidRPr="003D53D2" w:rsidRDefault="00D74BF3" w:rsidP="00C242C7">
      <w:pPr>
        <w:spacing w:before="120" w:after="120"/>
        <w:rPr>
          <w:i/>
        </w:rPr>
      </w:pPr>
      <w:r w:rsidRPr="003D53D2">
        <w:rPr>
          <w:i/>
        </w:rPr>
        <w:t>*ИО – итоговая оценка; ПБ – первичный балл. Итоговая оценка округляется с точностью до одного знака после запятой.</w:t>
      </w:r>
    </w:p>
    <w:p w:rsidR="00D74BF3" w:rsidRPr="003D53D2" w:rsidRDefault="00D74BF3" w:rsidP="00C242C7">
      <w:pPr>
        <w:pStyle w:val="aa"/>
        <w:numPr>
          <w:ilvl w:val="1"/>
          <w:numId w:val="1"/>
        </w:numPr>
        <w:spacing w:before="120" w:after="120"/>
        <w:ind w:left="0" w:firstLine="0"/>
        <w:jc w:val="both"/>
      </w:pPr>
      <w:r w:rsidRPr="003D53D2">
        <w:t>Полученная оценка также является мерой кредитного риска применительно к конкретной сделке, а в словесном выражении может быть интерпретирована как указано в таблице: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1287"/>
        <w:gridCol w:w="3260"/>
        <w:gridCol w:w="2779"/>
      </w:tblGrid>
      <w:tr w:rsidR="00D74BF3" w:rsidRPr="003D53D2" w:rsidTr="008E53D5">
        <w:trPr>
          <w:jc w:val="center"/>
        </w:trPr>
        <w:tc>
          <w:tcPr>
            <w:tcW w:w="2734" w:type="dxa"/>
            <w:tcBorders>
              <w:bottom w:val="single" w:sz="4" w:space="0" w:color="auto"/>
            </w:tcBorders>
          </w:tcPr>
          <w:p w:rsidR="00D74BF3" w:rsidRPr="003D53D2" w:rsidRDefault="00D74BF3" w:rsidP="00C242C7">
            <w:pPr>
              <w:spacing w:after="60"/>
              <w:jc w:val="center"/>
              <w:rPr>
                <w:b/>
              </w:rPr>
            </w:pPr>
            <w:r w:rsidRPr="003D53D2">
              <w:rPr>
                <w:b/>
              </w:rPr>
              <w:t>Первичный балл (0-1)</w:t>
            </w:r>
          </w:p>
        </w:tc>
        <w:tc>
          <w:tcPr>
            <w:tcW w:w="1287" w:type="dxa"/>
            <w:tcBorders>
              <w:bottom w:val="single" w:sz="4" w:space="0" w:color="auto"/>
            </w:tcBorders>
            <w:vAlign w:val="center"/>
          </w:tcPr>
          <w:p w:rsidR="00D74BF3" w:rsidRPr="003D53D2" w:rsidRDefault="00D74BF3" w:rsidP="00C242C7">
            <w:pPr>
              <w:spacing w:after="60"/>
              <w:jc w:val="center"/>
              <w:rPr>
                <w:b/>
              </w:rPr>
            </w:pPr>
            <w:r w:rsidRPr="003D53D2">
              <w:rPr>
                <w:b/>
              </w:rPr>
              <w:t>Итоговая оценка (0-5)</w:t>
            </w:r>
          </w:p>
        </w:tc>
        <w:tc>
          <w:tcPr>
            <w:tcW w:w="3260" w:type="dxa"/>
            <w:tcBorders>
              <w:bottom w:val="single" w:sz="4" w:space="0" w:color="auto"/>
            </w:tcBorders>
            <w:vAlign w:val="center"/>
          </w:tcPr>
          <w:p w:rsidR="00D74BF3" w:rsidRPr="003D53D2" w:rsidRDefault="00D74BF3" w:rsidP="00C242C7">
            <w:pPr>
              <w:spacing w:after="60"/>
              <w:jc w:val="center"/>
              <w:rPr>
                <w:b/>
              </w:rPr>
            </w:pPr>
            <w:r w:rsidRPr="003D53D2">
              <w:rPr>
                <w:b/>
              </w:rPr>
              <w:t>Соответствие Оценки уровню кредитного риска</w:t>
            </w:r>
          </w:p>
        </w:tc>
        <w:tc>
          <w:tcPr>
            <w:tcW w:w="2779" w:type="dxa"/>
            <w:tcBorders>
              <w:bottom w:val="single" w:sz="4" w:space="0" w:color="auto"/>
            </w:tcBorders>
            <w:shd w:val="clear" w:color="auto" w:fill="auto"/>
            <w:vAlign w:val="center"/>
          </w:tcPr>
          <w:p w:rsidR="00D74BF3" w:rsidRPr="003D53D2" w:rsidRDefault="00D74BF3" w:rsidP="00C242C7">
            <w:pPr>
              <w:spacing w:after="60"/>
              <w:jc w:val="center"/>
              <w:rPr>
                <w:b/>
              </w:rPr>
            </w:pPr>
            <w:r w:rsidRPr="003D53D2">
              <w:rPr>
                <w:b/>
              </w:rPr>
              <w:t>Интерпретация полученной Оценки</w:t>
            </w:r>
          </w:p>
        </w:tc>
      </w:tr>
      <w:tr w:rsidR="00D74BF3" w:rsidRPr="003D53D2" w:rsidTr="008E53D5">
        <w:trPr>
          <w:trHeight w:val="270"/>
          <w:jc w:val="center"/>
        </w:trPr>
        <w:tc>
          <w:tcPr>
            <w:tcW w:w="2734" w:type="dxa"/>
            <w:tcBorders>
              <w:bottom w:val="single" w:sz="4" w:space="0" w:color="auto"/>
            </w:tcBorders>
            <w:shd w:val="clear" w:color="auto" w:fill="FF0000"/>
            <w:vAlign w:val="center"/>
          </w:tcPr>
          <w:p w:rsidR="00D74BF3" w:rsidRPr="003D53D2" w:rsidRDefault="00D74BF3" w:rsidP="00C242C7">
            <w:pPr>
              <w:spacing w:after="60"/>
              <w:jc w:val="center"/>
              <w:rPr>
                <w:b/>
                <w:bCs/>
              </w:rPr>
            </w:pPr>
            <w:r w:rsidRPr="003D53D2">
              <w:rPr>
                <w:b/>
                <w:bCs/>
              </w:rPr>
              <w:t>0-0,45</w:t>
            </w:r>
          </w:p>
        </w:tc>
        <w:tc>
          <w:tcPr>
            <w:tcW w:w="1287" w:type="dxa"/>
            <w:tcBorders>
              <w:bottom w:val="single" w:sz="4" w:space="0" w:color="auto"/>
            </w:tcBorders>
            <w:shd w:val="clear" w:color="auto" w:fill="FF0000"/>
            <w:vAlign w:val="center"/>
          </w:tcPr>
          <w:p w:rsidR="00D74BF3" w:rsidRPr="003D53D2" w:rsidRDefault="00D74BF3" w:rsidP="00C242C7">
            <w:pPr>
              <w:spacing w:after="60"/>
              <w:jc w:val="center"/>
              <w:rPr>
                <w:b/>
                <w:bCs/>
              </w:rPr>
            </w:pPr>
            <w:r w:rsidRPr="003D53D2">
              <w:rPr>
                <w:b/>
                <w:bCs/>
              </w:rPr>
              <w:t>0</w:t>
            </w:r>
          </w:p>
        </w:tc>
        <w:tc>
          <w:tcPr>
            <w:tcW w:w="3260" w:type="dxa"/>
            <w:tcBorders>
              <w:bottom w:val="single" w:sz="4" w:space="0" w:color="auto"/>
            </w:tcBorders>
            <w:shd w:val="clear" w:color="auto" w:fill="FF0000"/>
            <w:vAlign w:val="center"/>
          </w:tcPr>
          <w:p w:rsidR="00D74BF3" w:rsidRPr="003D53D2" w:rsidRDefault="00D74BF3" w:rsidP="00C242C7">
            <w:pPr>
              <w:spacing w:after="60"/>
              <w:jc w:val="center"/>
              <w:rPr>
                <w:bCs/>
              </w:rPr>
            </w:pPr>
            <w:r w:rsidRPr="003D53D2">
              <w:t>«Недопустимо высокий</w:t>
            </w:r>
            <w:r w:rsidRPr="003D53D2">
              <w:rPr>
                <w:bCs/>
              </w:rPr>
              <w:t xml:space="preserve"> риск»</w:t>
            </w:r>
          </w:p>
        </w:tc>
        <w:tc>
          <w:tcPr>
            <w:tcW w:w="2779" w:type="dxa"/>
            <w:tcBorders>
              <w:bottom w:val="single" w:sz="4" w:space="0" w:color="auto"/>
            </w:tcBorders>
            <w:shd w:val="clear" w:color="auto" w:fill="FF0000"/>
          </w:tcPr>
          <w:p w:rsidR="00D74BF3" w:rsidRPr="003D53D2" w:rsidRDefault="00D74BF3" w:rsidP="00C242C7">
            <w:pPr>
              <w:spacing w:after="60"/>
              <w:jc w:val="center"/>
            </w:pPr>
            <w:r w:rsidRPr="003D53D2">
              <w:t>«Неприемлемо»</w:t>
            </w:r>
          </w:p>
          <w:p w:rsidR="00D74BF3" w:rsidRPr="003D53D2" w:rsidRDefault="00D74BF3" w:rsidP="00C242C7">
            <w:pPr>
              <w:spacing w:after="60"/>
              <w:jc w:val="center"/>
            </w:pPr>
            <w:r w:rsidRPr="003D53D2">
              <w:rPr>
                <w:i/>
              </w:rPr>
              <w:t>(предложение участника рекомендуется отклонить)</w:t>
            </w:r>
          </w:p>
        </w:tc>
      </w:tr>
      <w:tr w:rsidR="00D74BF3" w:rsidRPr="003D53D2" w:rsidTr="008E53D5">
        <w:trPr>
          <w:trHeight w:val="303"/>
          <w:jc w:val="center"/>
        </w:trPr>
        <w:tc>
          <w:tcPr>
            <w:tcW w:w="2734" w:type="dxa"/>
            <w:tcBorders>
              <w:bottom w:val="single" w:sz="4" w:space="0" w:color="auto"/>
            </w:tcBorders>
            <w:shd w:val="clear" w:color="auto" w:fill="FFFF00"/>
            <w:vAlign w:val="center"/>
          </w:tcPr>
          <w:p w:rsidR="00D74BF3" w:rsidRPr="003D53D2" w:rsidRDefault="00D74BF3" w:rsidP="00C242C7">
            <w:pPr>
              <w:spacing w:after="60"/>
              <w:jc w:val="center"/>
              <w:rPr>
                <w:b/>
                <w:bCs/>
              </w:rPr>
            </w:pPr>
            <w:r w:rsidRPr="003D53D2">
              <w:rPr>
                <w:b/>
                <w:bCs/>
              </w:rPr>
              <w:t>0,45-0,55</w:t>
            </w:r>
          </w:p>
        </w:tc>
        <w:tc>
          <w:tcPr>
            <w:tcW w:w="1287" w:type="dxa"/>
            <w:tcBorders>
              <w:bottom w:val="single" w:sz="4" w:space="0" w:color="auto"/>
            </w:tcBorders>
            <w:shd w:val="clear" w:color="auto" w:fill="FFFF00"/>
            <w:vAlign w:val="center"/>
          </w:tcPr>
          <w:p w:rsidR="00D74BF3" w:rsidRPr="003D53D2" w:rsidRDefault="00D74BF3" w:rsidP="00C242C7">
            <w:pPr>
              <w:spacing w:after="60"/>
              <w:jc w:val="center"/>
              <w:rPr>
                <w:b/>
                <w:bCs/>
              </w:rPr>
            </w:pPr>
            <w:r w:rsidRPr="003D53D2">
              <w:rPr>
                <w:b/>
                <w:bCs/>
              </w:rPr>
              <w:t>0-1</w:t>
            </w:r>
          </w:p>
        </w:tc>
        <w:tc>
          <w:tcPr>
            <w:tcW w:w="3260" w:type="dxa"/>
            <w:tcBorders>
              <w:bottom w:val="single" w:sz="4" w:space="0" w:color="auto"/>
            </w:tcBorders>
            <w:shd w:val="clear" w:color="auto" w:fill="FFFF00"/>
            <w:vAlign w:val="center"/>
          </w:tcPr>
          <w:p w:rsidR="00D74BF3" w:rsidRPr="003D53D2" w:rsidRDefault="00D74BF3" w:rsidP="00C242C7">
            <w:pPr>
              <w:spacing w:after="60"/>
              <w:jc w:val="center"/>
            </w:pPr>
            <w:r w:rsidRPr="003D53D2">
              <w:t>«Очень высокий</w:t>
            </w:r>
            <w:r w:rsidRPr="003D53D2">
              <w:rPr>
                <w:bCs/>
              </w:rPr>
              <w:t xml:space="preserve"> риск»</w:t>
            </w:r>
          </w:p>
        </w:tc>
        <w:tc>
          <w:tcPr>
            <w:tcW w:w="2779" w:type="dxa"/>
            <w:tcBorders>
              <w:bottom w:val="single" w:sz="4" w:space="0" w:color="auto"/>
            </w:tcBorders>
            <w:shd w:val="clear" w:color="auto" w:fill="FFFF00"/>
          </w:tcPr>
          <w:p w:rsidR="00D74BF3" w:rsidRPr="003D53D2" w:rsidRDefault="00D74BF3" w:rsidP="00C242C7">
            <w:pPr>
              <w:spacing w:after="60"/>
              <w:jc w:val="center"/>
            </w:pPr>
            <w:r w:rsidRPr="003D53D2">
              <w:t>«Минимально приемлемо»</w:t>
            </w:r>
          </w:p>
        </w:tc>
      </w:tr>
      <w:tr w:rsidR="00D74BF3" w:rsidRPr="003D53D2" w:rsidTr="008E53D5">
        <w:trPr>
          <w:trHeight w:val="252"/>
          <w:jc w:val="center"/>
        </w:trPr>
        <w:tc>
          <w:tcPr>
            <w:tcW w:w="2734" w:type="dxa"/>
            <w:tcBorders>
              <w:bottom w:val="single" w:sz="4" w:space="0" w:color="auto"/>
            </w:tcBorders>
            <w:shd w:val="clear" w:color="auto" w:fill="FFFF00"/>
            <w:vAlign w:val="center"/>
          </w:tcPr>
          <w:p w:rsidR="00D74BF3" w:rsidRPr="003D53D2" w:rsidRDefault="00D74BF3" w:rsidP="00C242C7">
            <w:pPr>
              <w:spacing w:after="60"/>
              <w:jc w:val="center"/>
              <w:rPr>
                <w:b/>
                <w:bCs/>
              </w:rPr>
            </w:pPr>
            <w:r w:rsidRPr="003D53D2">
              <w:rPr>
                <w:b/>
                <w:bCs/>
              </w:rPr>
              <w:t>0,55-0,65</w:t>
            </w:r>
          </w:p>
        </w:tc>
        <w:tc>
          <w:tcPr>
            <w:tcW w:w="1287" w:type="dxa"/>
            <w:tcBorders>
              <w:bottom w:val="single" w:sz="4" w:space="0" w:color="auto"/>
            </w:tcBorders>
            <w:shd w:val="clear" w:color="auto" w:fill="FFFF00"/>
            <w:vAlign w:val="center"/>
          </w:tcPr>
          <w:p w:rsidR="00D74BF3" w:rsidRPr="003D53D2" w:rsidRDefault="00D74BF3" w:rsidP="00C242C7">
            <w:pPr>
              <w:spacing w:after="60"/>
              <w:jc w:val="center"/>
              <w:rPr>
                <w:b/>
                <w:bCs/>
              </w:rPr>
            </w:pPr>
            <w:r w:rsidRPr="003D53D2">
              <w:rPr>
                <w:b/>
                <w:bCs/>
              </w:rPr>
              <w:t>1-2</w:t>
            </w:r>
          </w:p>
        </w:tc>
        <w:tc>
          <w:tcPr>
            <w:tcW w:w="3260" w:type="dxa"/>
            <w:tcBorders>
              <w:bottom w:val="single" w:sz="4" w:space="0" w:color="auto"/>
            </w:tcBorders>
            <w:shd w:val="clear" w:color="auto" w:fill="FFFF00"/>
            <w:vAlign w:val="center"/>
          </w:tcPr>
          <w:p w:rsidR="00D74BF3" w:rsidRPr="003D53D2" w:rsidRDefault="00D74BF3" w:rsidP="00C242C7">
            <w:pPr>
              <w:spacing w:after="60"/>
              <w:jc w:val="center"/>
              <w:rPr>
                <w:bCs/>
              </w:rPr>
            </w:pPr>
            <w:r w:rsidRPr="003D53D2">
              <w:t>«</w:t>
            </w:r>
            <w:r w:rsidRPr="003D53D2">
              <w:rPr>
                <w:bCs/>
              </w:rPr>
              <w:t>Повышенный риск»</w:t>
            </w:r>
          </w:p>
        </w:tc>
        <w:tc>
          <w:tcPr>
            <w:tcW w:w="2779" w:type="dxa"/>
            <w:tcBorders>
              <w:bottom w:val="single" w:sz="4" w:space="0" w:color="auto"/>
            </w:tcBorders>
            <w:shd w:val="clear" w:color="auto" w:fill="FFFF00"/>
          </w:tcPr>
          <w:p w:rsidR="00D74BF3" w:rsidRPr="003D53D2" w:rsidRDefault="00D74BF3" w:rsidP="00C242C7">
            <w:pPr>
              <w:spacing w:after="60"/>
              <w:jc w:val="center"/>
            </w:pPr>
            <w:r w:rsidRPr="003D53D2">
              <w:t>«Удовлетворительно»</w:t>
            </w:r>
          </w:p>
        </w:tc>
      </w:tr>
      <w:tr w:rsidR="00D74BF3" w:rsidRPr="003D53D2" w:rsidTr="008E53D5">
        <w:trPr>
          <w:jc w:val="center"/>
        </w:trPr>
        <w:tc>
          <w:tcPr>
            <w:tcW w:w="2734" w:type="dxa"/>
            <w:shd w:val="clear" w:color="auto" w:fill="92D050"/>
            <w:vAlign w:val="center"/>
          </w:tcPr>
          <w:p w:rsidR="00D74BF3" w:rsidRPr="003D53D2" w:rsidRDefault="00D74BF3" w:rsidP="00C242C7">
            <w:pPr>
              <w:spacing w:after="60"/>
              <w:jc w:val="center"/>
              <w:rPr>
                <w:b/>
                <w:bCs/>
              </w:rPr>
            </w:pPr>
            <w:r w:rsidRPr="003D53D2">
              <w:rPr>
                <w:b/>
                <w:bCs/>
              </w:rPr>
              <w:t>0,65-0,75</w:t>
            </w:r>
          </w:p>
        </w:tc>
        <w:tc>
          <w:tcPr>
            <w:tcW w:w="1287" w:type="dxa"/>
            <w:shd w:val="clear" w:color="auto" w:fill="92D050"/>
            <w:vAlign w:val="center"/>
          </w:tcPr>
          <w:p w:rsidR="00D74BF3" w:rsidRPr="003D53D2" w:rsidRDefault="00D74BF3" w:rsidP="00C242C7">
            <w:pPr>
              <w:spacing w:after="60"/>
              <w:jc w:val="center"/>
              <w:rPr>
                <w:b/>
                <w:bCs/>
              </w:rPr>
            </w:pPr>
            <w:r w:rsidRPr="003D53D2">
              <w:rPr>
                <w:b/>
                <w:bCs/>
              </w:rPr>
              <w:t>2-3</w:t>
            </w:r>
          </w:p>
        </w:tc>
        <w:tc>
          <w:tcPr>
            <w:tcW w:w="3260" w:type="dxa"/>
            <w:shd w:val="clear" w:color="auto" w:fill="92D050"/>
            <w:vAlign w:val="center"/>
          </w:tcPr>
          <w:p w:rsidR="00D74BF3" w:rsidRPr="003D53D2" w:rsidRDefault="00D74BF3" w:rsidP="00C242C7">
            <w:pPr>
              <w:spacing w:after="60"/>
              <w:jc w:val="center"/>
              <w:rPr>
                <w:bCs/>
              </w:rPr>
            </w:pPr>
            <w:r w:rsidRPr="003D53D2">
              <w:rPr>
                <w:bCs/>
              </w:rPr>
              <w:t>«Вполне приемлемый риск</w:t>
            </w:r>
          </w:p>
        </w:tc>
        <w:tc>
          <w:tcPr>
            <w:tcW w:w="2779" w:type="dxa"/>
            <w:shd w:val="clear" w:color="auto" w:fill="92D050"/>
          </w:tcPr>
          <w:p w:rsidR="00D74BF3" w:rsidRPr="003D53D2" w:rsidRDefault="00D74BF3" w:rsidP="00C242C7">
            <w:pPr>
              <w:spacing w:after="60"/>
              <w:jc w:val="center"/>
            </w:pPr>
            <w:r w:rsidRPr="003D53D2">
              <w:t>«Хорошо»</w:t>
            </w:r>
          </w:p>
          <w:p w:rsidR="00D74BF3" w:rsidRPr="003D53D2" w:rsidRDefault="00D74BF3" w:rsidP="00C242C7">
            <w:pPr>
              <w:spacing w:after="60"/>
              <w:jc w:val="center"/>
            </w:pPr>
            <w:r w:rsidRPr="003D53D2">
              <w:rPr>
                <w:i/>
              </w:rPr>
              <w:t>(финансовое состояние соответствует требованиям закупочной документации)</w:t>
            </w:r>
          </w:p>
        </w:tc>
      </w:tr>
      <w:tr w:rsidR="00D74BF3" w:rsidRPr="003D53D2" w:rsidTr="008E53D5">
        <w:trPr>
          <w:trHeight w:val="155"/>
          <w:jc w:val="center"/>
        </w:trPr>
        <w:tc>
          <w:tcPr>
            <w:tcW w:w="2734" w:type="dxa"/>
            <w:shd w:val="clear" w:color="auto" w:fill="92D050"/>
            <w:vAlign w:val="center"/>
          </w:tcPr>
          <w:p w:rsidR="00D74BF3" w:rsidRPr="003D53D2" w:rsidRDefault="00D74BF3" w:rsidP="00C242C7">
            <w:pPr>
              <w:spacing w:after="60"/>
              <w:jc w:val="center"/>
              <w:rPr>
                <w:b/>
                <w:bCs/>
              </w:rPr>
            </w:pPr>
            <w:r w:rsidRPr="003D53D2">
              <w:rPr>
                <w:b/>
                <w:bCs/>
              </w:rPr>
              <w:t>0,75-0,85</w:t>
            </w:r>
          </w:p>
        </w:tc>
        <w:tc>
          <w:tcPr>
            <w:tcW w:w="1287" w:type="dxa"/>
            <w:shd w:val="clear" w:color="auto" w:fill="92D050"/>
            <w:vAlign w:val="center"/>
          </w:tcPr>
          <w:p w:rsidR="00D74BF3" w:rsidRPr="003D53D2" w:rsidRDefault="00D74BF3" w:rsidP="00C242C7">
            <w:pPr>
              <w:spacing w:after="60"/>
              <w:jc w:val="center"/>
              <w:rPr>
                <w:b/>
                <w:bCs/>
              </w:rPr>
            </w:pPr>
            <w:r w:rsidRPr="003D53D2">
              <w:rPr>
                <w:b/>
                <w:bCs/>
              </w:rPr>
              <w:t>3-4</w:t>
            </w:r>
          </w:p>
        </w:tc>
        <w:tc>
          <w:tcPr>
            <w:tcW w:w="3260" w:type="dxa"/>
            <w:shd w:val="clear" w:color="auto" w:fill="92D050"/>
            <w:vAlign w:val="center"/>
          </w:tcPr>
          <w:p w:rsidR="00D74BF3" w:rsidRPr="003D53D2" w:rsidRDefault="00D74BF3" w:rsidP="00C242C7">
            <w:pPr>
              <w:spacing w:after="60"/>
              <w:jc w:val="center"/>
              <w:rPr>
                <w:bCs/>
              </w:rPr>
            </w:pPr>
            <w:r w:rsidRPr="003D53D2">
              <w:rPr>
                <w:bCs/>
              </w:rPr>
              <w:t>«Приемлемый риск»</w:t>
            </w:r>
          </w:p>
        </w:tc>
        <w:tc>
          <w:tcPr>
            <w:tcW w:w="2779" w:type="dxa"/>
            <w:shd w:val="clear" w:color="auto" w:fill="92D050"/>
          </w:tcPr>
          <w:p w:rsidR="00D74BF3" w:rsidRPr="003D53D2" w:rsidRDefault="00D74BF3" w:rsidP="00C242C7">
            <w:pPr>
              <w:spacing w:after="60"/>
              <w:jc w:val="center"/>
            </w:pPr>
            <w:r w:rsidRPr="003D53D2">
              <w:t>«Очень хорошо»</w:t>
            </w:r>
          </w:p>
        </w:tc>
      </w:tr>
      <w:tr w:rsidR="00D74BF3" w:rsidRPr="003D53D2" w:rsidTr="008E53D5">
        <w:trPr>
          <w:jc w:val="center"/>
        </w:trPr>
        <w:tc>
          <w:tcPr>
            <w:tcW w:w="2734" w:type="dxa"/>
            <w:shd w:val="clear" w:color="auto" w:fill="92D050"/>
            <w:vAlign w:val="center"/>
          </w:tcPr>
          <w:p w:rsidR="00D74BF3" w:rsidRPr="003D53D2" w:rsidRDefault="00D74BF3" w:rsidP="00C242C7">
            <w:pPr>
              <w:spacing w:after="60"/>
              <w:jc w:val="center"/>
              <w:rPr>
                <w:b/>
                <w:bCs/>
              </w:rPr>
            </w:pPr>
            <w:r w:rsidRPr="003D53D2">
              <w:rPr>
                <w:b/>
                <w:bCs/>
              </w:rPr>
              <w:t>0,85-1</w:t>
            </w:r>
          </w:p>
        </w:tc>
        <w:tc>
          <w:tcPr>
            <w:tcW w:w="1287" w:type="dxa"/>
            <w:shd w:val="clear" w:color="auto" w:fill="92D050"/>
            <w:vAlign w:val="center"/>
          </w:tcPr>
          <w:p w:rsidR="00D74BF3" w:rsidRPr="003D53D2" w:rsidRDefault="00D74BF3" w:rsidP="00C242C7">
            <w:pPr>
              <w:keepNext/>
              <w:spacing w:after="60"/>
              <w:jc w:val="center"/>
              <w:rPr>
                <w:b/>
                <w:bCs/>
              </w:rPr>
            </w:pPr>
            <w:r w:rsidRPr="003D53D2">
              <w:rPr>
                <w:b/>
                <w:bCs/>
              </w:rPr>
              <w:t>4-5</w:t>
            </w:r>
          </w:p>
        </w:tc>
        <w:tc>
          <w:tcPr>
            <w:tcW w:w="3260" w:type="dxa"/>
            <w:shd w:val="clear" w:color="auto" w:fill="92D050"/>
            <w:vAlign w:val="center"/>
          </w:tcPr>
          <w:p w:rsidR="00D74BF3" w:rsidRPr="003D53D2" w:rsidRDefault="00D74BF3" w:rsidP="00C242C7">
            <w:pPr>
              <w:keepNext/>
              <w:spacing w:after="60"/>
              <w:jc w:val="center"/>
              <w:rPr>
                <w:bCs/>
              </w:rPr>
            </w:pPr>
            <w:r w:rsidRPr="003D53D2">
              <w:rPr>
                <w:bCs/>
              </w:rPr>
              <w:t>«Минимальный риск»</w:t>
            </w:r>
          </w:p>
        </w:tc>
        <w:tc>
          <w:tcPr>
            <w:tcW w:w="2779" w:type="dxa"/>
            <w:shd w:val="clear" w:color="auto" w:fill="92D050"/>
          </w:tcPr>
          <w:p w:rsidR="00D74BF3" w:rsidRPr="003D53D2" w:rsidRDefault="00D74BF3" w:rsidP="00C242C7">
            <w:pPr>
              <w:keepNext/>
              <w:spacing w:after="60"/>
              <w:jc w:val="center"/>
            </w:pPr>
            <w:r w:rsidRPr="003D53D2">
              <w:t>«Отлично»</w:t>
            </w:r>
          </w:p>
        </w:tc>
      </w:tr>
    </w:tbl>
    <w:p w:rsidR="00D74BF3" w:rsidRPr="003D53D2" w:rsidRDefault="00D74BF3" w:rsidP="00C242C7">
      <w:pPr>
        <w:pStyle w:val="aa"/>
        <w:numPr>
          <w:ilvl w:val="1"/>
          <w:numId w:val="1"/>
        </w:numPr>
        <w:spacing w:before="120" w:after="120"/>
        <w:ind w:left="0" w:firstLine="0"/>
        <w:jc w:val="both"/>
      </w:pPr>
      <w:r w:rsidRPr="003D53D2">
        <w:t>Подробный порядок применения положений Методики Экспертами на оценочной стадии определен в соответствующих разделах приложения 2 к Методике «Алгоритм действия Эксперта при подготовке заключения по направлению финансово-экономической экспертизы с использованием шаблона «Финэкспертиза.xls» и приложения 3 к Методике «Алгоритм действия Эксперта при подготовке заключения по направлению финансово-экономической экспертизы с использованием шаблона «Финэкспертиза_МСП.xls».</w:t>
      </w:r>
    </w:p>
    <w:p w:rsidR="00D74BF3" w:rsidRDefault="00D74BF3" w:rsidP="00C242C7"/>
    <w:p w:rsidR="00D515B3" w:rsidRPr="003D53D2" w:rsidRDefault="00D515B3" w:rsidP="00C242C7"/>
    <w:p w:rsidR="00C76C46" w:rsidRPr="003D53D2" w:rsidRDefault="00C76C46" w:rsidP="00416968">
      <w:pPr>
        <w:pStyle w:val="1"/>
      </w:pPr>
      <w:bookmarkStart w:id="81" w:name="_Toc518302242"/>
      <w:r w:rsidRPr="003D53D2">
        <w:lastRenderedPageBreak/>
        <w:t xml:space="preserve">Лист </w:t>
      </w:r>
      <w:r w:rsidRPr="00416968">
        <w:t>регистрации</w:t>
      </w:r>
      <w:r w:rsidRPr="003D53D2">
        <w:t xml:space="preserve"> изменений</w:t>
      </w:r>
      <w:bookmarkEnd w:id="81"/>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296"/>
        <w:gridCol w:w="4834"/>
        <w:gridCol w:w="2297"/>
      </w:tblGrid>
      <w:tr w:rsidR="00C76C46" w:rsidRPr="003D53D2" w:rsidTr="00974D7A">
        <w:tc>
          <w:tcPr>
            <w:tcW w:w="1496" w:type="dxa"/>
            <w:shd w:val="clear" w:color="auto" w:fill="D9D9D9"/>
            <w:vAlign w:val="center"/>
          </w:tcPr>
          <w:p w:rsidR="00C76C46" w:rsidRPr="003D53D2" w:rsidRDefault="00C76C46" w:rsidP="00C242C7">
            <w:pPr>
              <w:spacing w:before="120" w:after="120"/>
              <w:jc w:val="center"/>
              <w:rPr>
                <w:b/>
              </w:rPr>
            </w:pPr>
            <w:r w:rsidRPr="003D53D2">
              <w:rPr>
                <w:b/>
              </w:rPr>
              <w:t>Версия</w:t>
            </w:r>
          </w:p>
        </w:tc>
        <w:tc>
          <w:tcPr>
            <w:tcW w:w="1296" w:type="dxa"/>
            <w:shd w:val="clear" w:color="auto" w:fill="D9D9D9"/>
            <w:vAlign w:val="center"/>
          </w:tcPr>
          <w:p w:rsidR="00C76C46" w:rsidRPr="003D53D2" w:rsidRDefault="00C76C46" w:rsidP="00C242C7">
            <w:pPr>
              <w:spacing w:before="120" w:after="120"/>
              <w:jc w:val="center"/>
              <w:rPr>
                <w:b/>
              </w:rPr>
            </w:pPr>
            <w:r w:rsidRPr="003D53D2">
              <w:rPr>
                <w:b/>
              </w:rPr>
              <w:t>Дата</w:t>
            </w:r>
          </w:p>
        </w:tc>
        <w:tc>
          <w:tcPr>
            <w:tcW w:w="4834" w:type="dxa"/>
            <w:shd w:val="clear" w:color="auto" w:fill="D9D9D9"/>
            <w:vAlign w:val="center"/>
          </w:tcPr>
          <w:p w:rsidR="00C76C46" w:rsidRPr="003D53D2" w:rsidRDefault="00C76C46" w:rsidP="00C242C7">
            <w:pPr>
              <w:spacing w:before="120" w:after="120"/>
              <w:jc w:val="center"/>
              <w:rPr>
                <w:b/>
              </w:rPr>
            </w:pPr>
            <w:r w:rsidRPr="003D53D2">
              <w:rPr>
                <w:b/>
              </w:rPr>
              <w:t>Должность Ответственного за разработку ВНД</w:t>
            </w:r>
          </w:p>
        </w:tc>
        <w:tc>
          <w:tcPr>
            <w:tcW w:w="2297" w:type="dxa"/>
            <w:shd w:val="clear" w:color="auto" w:fill="D9D9D9"/>
          </w:tcPr>
          <w:p w:rsidR="00C76C46" w:rsidRPr="003D53D2" w:rsidRDefault="00C76C46" w:rsidP="00C242C7">
            <w:pPr>
              <w:spacing w:before="120" w:after="120"/>
              <w:jc w:val="center"/>
              <w:rPr>
                <w:b/>
              </w:rPr>
            </w:pPr>
            <w:r w:rsidRPr="003D53D2">
              <w:rPr>
                <w:b/>
              </w:rPr>
              <w:t>ФИО Ответственного за разработку ВНД</w:t>
            </w:r>
          </w:p>
        </w:tc>
      </w:tr>
      <w:tr w:rsidR="00C76C46" w:rsidRPr="003D53D2" w:rsidTr="00974D7A">
        <w:tc>
          <w:tcPr>
            <w:tcW w:w="1496" w:type="dxa"/>
            <w:shd w:val="clear" w:color="auto" w:fill="auto"/>
          </w:tcPr>
          <w:p w:rsidR="00C76C46" w:rsidRPr="003D53D2" w:rsidRDefault="00C76C46" w:rsidP="00C242C7">
            <w:pPr>
              <w:spacing w:before="120" w:after="120"/>
            </w:pPr>
            <w:r w:rsidRPr="003D53D2">
              <w:t>1.</w:t>
            </w:r>
          </w:p>
        </w:tc>
        <w:tc>
          <w:tcPr>
            <w:tcW w:w="1296" w:type="dxa"/>
            <w:shd w:val="clear" w:color="auto" w:fill="auto"/>
          </w:tcPr>
          <w:p w:rsidR="00C76C46" w:rsidRPr="003D53D2" w:rsidRDefault="00D515B3" w:rsidP="00C8163A">
            <w:pPr>
              <w:spacing w:before="120" w:after="120"/>
            </w:pPr>
            <w:r>
              <w:t>23.07.2018</w:t>
            </w:r>
          </w:p>
        </w:tc>
        <w:tc>
          <w:tcPr>
            <w:tcW w:w="4834" w:type="dxa"/>
            <w:shd w:val="clear" w:color="auto" w:fill="auto"/>
          </w:tcPr>
          <w:p w:rsidR="00C76C46" w:rsidRPr="00256DB8" w:rsidRDefault="00D515B3" w:rsidP="00C242C7">
            <w:pPr>
              <w:spacing w:before="120" w:after="120"/>
            </w:pPr>
            <w:r>
              <w:t>Специалист по проведению регламентированных закупок</w:t>
            </w:r>
          </w:p>
        </w:tc>
        <w:tc>
          <w:tcPr>
            <w:tcW w:w="2297" w:type="dxa"/>
          </w:tcPr>
          <w:p w:rsidR="00C76C46" w:rsidRPr="003D53D2" w:rsidRDefault="00D515B3" w:rsidP="00C242C7">
            <w:pPr>
              <w:spacing w:before="120" w:after="120"/>
            </w:pPr>
            <w:r>
              <w:t>Решева Е.С.</w:t>
            </w:r>
          </w:p>
        </w:tc>
      </w:tr>
      <w:tr w:rsidR="00D74BF3" w:rsidRPr="003D53D2" w:rsidTr="00974D7A">
        <w:tc>
          <w:tcPr>
            <w:tcW w:w="1496" w:type="dxa"/>
            <w:shd w:val="clear" w:color="auto" w:fill="auto"/>
          </w:tcPr>
          <w:p w:rsidR="00D74BF3" w:rsidRPr="003D53D2" w:rsidRDefault="00D74BF3" w:rsidP="00C242C7">
            <w:pPr>
              <w:spacing w:before="120" w:after="120"/>
            </w:pPr>
            <w:r w:rsidRPr="003D53D2">
              <w:t>2.</w:t>
            </w:r>
          </w:p>
        </w:tc>
        <w:tc>
          <w:tcPr>
            <w:tcW w:w="1296" w:type="dxa"/>
            <w:shd w:val="clear" w:color="auto" w:fill="auto"/>
          </w:tcPr>
          <w:p w:rsidR="00D74BF3" w:rsidRPr="003D53D2" w:rsidRDefault="00D74BF3" w:rsidP="00C242C7">
            <w:pPr>
              <w:spacing w:before="120" w:after="120"/>
            </w:pPr>
          </w:p>
        </w:tc>
        <w:tc>
          <w:tcPr>
            <w:tcW w:w="4834" w:type="dxa"/>
            <w:shd w:val="clear" w:color="auto" w:fill="auto"/>
          </w:tcPr>
          <w:p w:rsidR="00D74BF3" w:rsidRPr="00256DB8" w:rsidRDefault="00D74BF3" w:rsidP="00C242C7">
            <w:pPr>
              <w:spacing w:before="120" w:after="120"/>
            </w:pPr>
          </w:p>
        </w:tc>
        <w:tc>
          <w:tcPr>
            <w:tcW w:w="2297" w:type="dxa"/>
          </w:tcPr>
          <w:p w:rsidR="00D74BF3" w:rsidRPr="003D53D2" w:rsidRDefault="00D74BF3" w:rsidP="00C242C7">
            <w:pPr>
              <w:spacing w:before="120" w:after="120"/>
            </w:pPr>
          </w:p>
        </w:tc>
      </w:tr>
    </w:tbl>
    <w:p w:rsidR="00C76C46" w:rsidRPr="003D53D2" w:rsidRDefault="00C76C46" w:rsidP="00C242C7">
      <w:pPr>
        <w:spacing w:before="120" w:after="120"/>
      </w:pPr>
    </w:p>
    <w:p w:rsidR="00C76C46" w:rsidRPr="003D53D2" w:rsidRDefault="00C76C46" w:rsidP="00416968">
      <w:pPr>
        <w:pStyle w:val="1"/>
      </w:pPr>
      <w:bookmarkStart w:id="82" w:name="_Toc518302243"/>
      <w:r w:rsidRPr="003D53D2">
        <w:t>Права доступа к документу</w:t>
      </w:r>
      <w:bookmarkEnd w:id="82"/>
    </w:p>
    <w:p w:rsidR="00BF662A" w:rsidRPr="003D53D2" w:rsidRDefault="00BF662A" w:rsidP="00C242C7">
      <w:pPr>
        <w:pStyle w:val="aa"/>
        <w:ind w:left="0"/>
      </w:pPr>
      <w:r w:rsidRPr="003D53D2">
        <w:t>Не ограничены.</w:t>
      </w:r>
    </w:p>
    <w:p w:rsidR="00BF662A" w:rsidRPr="003D53D2" w:rsidRDefault="00DC15CB" w:rsidP="00C242C7">
      <w:pPr>
        <w:spacing w:after="200" w:line="276" w:lineRule="auto"/>
      </w:pPr>
      <w:r>
        <w:br w:type="page"/>
      </w:r>
    </w:p>
    <w:p w:rsidR="00BF662A" w:rsidRPr="003D53D2" w:rsidRDefault="00BF662A" w:rsidP="00C242C7">
      <w:pPr>
        <w:rPr>
          <w:rStyle w:val="10"/>
        </w:rPr>
      </w:pPr>
      <w:bookmarkStart w:id="83" w:name="_Toc326066023"/>
      <w:bookmarkStart w:id="84" w:name="_Toc326066293"/>
      <w:bookmarkStart w:id="85" w:name="_Toc326067324"/>
      <w:bookmarkStart w:id="86" w:name="_Toc516132533"/>
      <w:bookmarkStart w:id="87" w:name="_Toc518302244"/>
      <w:bookmarkStart w:id="88" w:name="_Toc314226192"/>
      <w:bookmarkStart w:id="89" w:name="_Toc322961188"/>
      <w:r w:rsidRPr="003D53D2">
        <w:rPr>
          <w:rStyle w:val="10"/>
        </w:rPr>
        <w:lastRenderedPageBreak/>
        <w:t>Приложение 1 Разграничение функциональных обязанностей по проведению финансово-экономической экспертизы</w:t>
      </w:r>
      <w:bookmarkEnd w:id="83"/>
      <w:bookmarkEnd w:id="84"/>
      <w:bookmarkEnd w:id="85"/>
      <w:bookmarkEnd w:id="86"/>
      <w:bookmarkEnd w:id="87"/>
      <w:r w:rsidRPr="003D53D2">
        <w:rPr>
          <w:rStyle w:val="1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F662A" w:rsidRPr="003D53D2" w:rsidTr="00C242C7">
        <w:trPr>
          <w:trHeight w:val="600"/>
        </w:trPr>
        <w:tc>
          <w:tcPr>
            <w:tcW w:w="3119" w:type="dxa"/>
            <w:shd w:val="clear" w:color="auto" w:fill="auto"/>
            <w:noWrap/>
            <w:vAlign w:val="center"/>
          </w:tcPr>
          <w:p w:rsidR="00BF662A" w:rsidRPr="003D53D2" w:rsidRDefault="00BF662A" w:rsidP="00C242C7">
            <w:pPr>
              <w:jc w:val="center"/>
              <w:rPr>
                <w:b/>
                <w:color w:val="000000"/>
              </w:rPr>
            </w:pPr>
            <w:r w:rsidRPr="003D53D2">
              <w:rPr>
                <w:b/>
                <w:color w:val="000000"/>
              </w:rPr>
              <w:t>Эксперт по направлению</w:t>
            </w:r>
          </w:p>
        </w:tc>
        <w:tc>
          <w:tcPr>
            <w:tcW w:w="6804" w:type="dxa"/>
            <w:shd w:val="clear" w:color="auto" w:fill="auto"/>
            <w:vAlign w:val="center"/>
          </w:tcPr>
          <w:p w:rsidR="00BF662A" w:rsidRPr="003D53D2" w:rsidRDefault="00BF662A" w:rsidP="00C242C7">
            <w:pPr>
              <w:jc w:val="center"/>
              <w:rPr>
                <w:b/>
                <w:color w:val="000000"/>
              </w:rPr>
            </w:pPr>
            <w:r w:rsidRPr="003D53D2">
              <w:rPr>
                <w:b/>
                <w:color w:val="000000"/>
              </w:rPr>
              <w:t>Проведение финансово-экономической экспертизы</w:t>
            </w:r>
          </w:p>
        </w:tc>
      </w:tr>
      <w:tr w:rsidR="00BF662A" w:rsidRPr="003D53D2" w:rsidTr="00C242C7">
        <w:trPr>
          <w:trHeight w:val="1905"/>
        </w:trPr>
        <w:tc>
          <w:tcPr>
            <w:tcW w:w="3119" w:type="dxa"/>
            <w:shd w:val="clear" w:color="auto" w:fill="auto"/>
            <w:vAlign w:val="center"/>
          </w:tcPr>
          <w:p w:rsidR="00BF662A" w:rsidRPr="003D53D2" w:rsidRDefault="00BF662A" w:rsidP="00C242C7">
            <w:pPr>
              <w:rPr>
                <w:color w:val="000000"/>
              </w:rPr>
            </w:pPr>
            <w:r w:rsidRPr="003D53D2">
              <w:rPr>
                <w:color w:val="000000"/>
              </w:rPr>
              <w:t>Работник</w:t>
            </w:r>
          </w:p>
          <w:p w:rsidR="00BF662A" w:rsidRPr="003D53D2" w:rsidRDefault="00BF662A" w:rsidP="00C242C7">
            <w:pPr>
              <w:rPr>
                <w:color w:val="000000"/>
              </w:rPr>
            </w:pPr>
            <w:r w:rsidRPr="003D53D2">
              <w:rPr>
                <w:color w:val="000000"/>
              </w:rPr>
              <w:t>Финансово-экономического центра</w:t>
            </w:r>
          </w:p>
          <w:p w:rsidR="00BF662A" w:rsidRPr="003D53D2" w:rsidRDefault="00BF662A" w:rsidP="00C242C7">
            <w:pPr>
              <w:rPr>
                <w:color w:val="000000"/>
              </w:rPr>
            </w:pPr>
            <w:r w:rsidRPr="003D53D2">
              <w:rPr>
                <w:color w:val="000000"/>
              </w:rPr>
              <w:t>ПАО «Интер РАО»</w:t>
            </w:r>
          </w:p>
        </w:tc>
        <w:tc>
          <w:tcPr>
            <w:tcW w:w="6804" w:type="dxa"/>
            <w:shd w:val="clear" w:color="auto" w:fill="auto"/>
            <w:vAlign w:val="center"/>
          </w:tcPr>
          <w:p w:rsidR="00BF662A" w:rsidRPr="003D53D2" w:rsidRDefault="00BF662A" w:rsidP="00C242C7">
            <w:pPr>
              <w:rPr>
                <w:color w:val="000000"/>
              </w:rPr>
            </w:pPr>
            <w:r w:rsidRPr="003D53D2">
              <w:rPr>
                <w:color w:val="000000"/>
              </w:rPr>
              <w:t xml:space="preserve">1) закупочные процедуры Группы, сумма по которым превышает </w:t>
            </w:r>
            <w:r w:rsidRPr="003D53D2">
              <w:rPr>
                <w:b/>
                <w:color w:val="000000"/>
              </w:rPr>
              <w:t>250 млн. рублей</w:t>
            </w:r>
            <w:r w:rsidRPr="003D53D2">
              <w:rPr>
                <w:color w:val="000000"/>
              </w:rPr>
              <w:t xml:space="preserve"> без НДС*;</w:t>
            </w:r>
          </w:p>
          <w:p w:rsidR="00BF662A" w:rsidRPr="003D53D2" w:rsidRDefault="00BF662A" w:rsidP="00C242C7">
            <w:pPr>
              <w:rPr>
                <w:color w:val="000000"/>
              </w:rPr>
            </w:pPr>
            <w:r w:rsidRPr="003D53D2">
              <w:rPr>
                <w:color w:val="000000"/>
              </w:rPr>
              <w:t>2) закупочные процедуры Группы связанные с покупкой и транспортировкой топлива для нужд российских генерирующих активов;</w:t>
            </w:r>
          </w:p>
          <w:p w:rsidR="00BF662A" w:rsidRPr="003D53D2" w:rsidRDefault="00BF662A" w:rsidP="00C242C7">
            <w:pPr>
              <w:rPr>
                <w:color w:val="000000"/>
              </w:rPr>
            </w:pPr>
            <w:r w:rsidRPr="003D53D2">
              <w:rPr>
                <w:color w:val="000000"/>
              </w:rPr>
              <w:t>3) закупочные процедуры Группы на оказание услуг банков, лизинговых компаний, страховых компаний и иных финансовых организаций**;</w:t>
            </w:r>
          </w:p>
        </w:tc>
      </w:tr>
      <w:tr w:rsidR="00BF662A" w:rsidRPr="003D53D2" w:rsidTr="00C242C7">
        <w:trPr>
          <w:trHeight w:val="975"/>
        </w:trPr>
        <w:tc>
          <w:tcPr>
            <w:tcW w:w="3119" w:type="dxa"/>
            <w:shd w:val="clear" w:color="auto" w:fill="auto"/>
            <w:vAlign w:val="center"/>
          </w:tcPr>
          <w:p w:rsidR="00BF662A" w:rsidRPr="003D53D2" w:rsidRDefault="00BF662A" w:rsidP="00C242C7">
            <w:pPr>
              <w:rPr>
                <w:color w:val="000000"/>
              </w:rPr>
            </w:pPr>
            <w:r w:rsidRPr="003D53D2">
              <w:rPr>
                <w:color w:val="000000"/>
              </w:rPr>
              <w:t xml:space="preserve">Работник </w:t>
            </w:r>
          </w:p>
          <w:p w:rsidR="00BF662A" w:rsidRPr="003D53D2" w:rsidRDefault="00BF662A" w:rsidP="00056D93">
            <w:pPr>
              <w:rPr>
                <w:color w:val="000000"/>
              </w:rPr>
            </w:pPr>
            <w:r w:rsidRPr="003D53D2">
              <w:rPr>
                <w:color w:val="000000"/>
              </w:rPr>
              <w:t>ООО «</w:t>
            </w:r>
            <w:r w:rsidRPr="00B74838">
              <w:rPr>
                <w:color w:val="000000"/>
              </w:rPr>
              <w:t>И</w:t>
            </w:r>
            <w:r w:rsidR="00056D93" w:rsidRPr="00B74838">
              <w:rPr>
                <w:color w:val="000000"/>
              </w:rPr>
              <w:t>нтер</w:t>
            </w:r>
            <w:r w:rsidRPr="00B74838">
              <w:rPr>
                <w:color w:val="000000"/>
              </w:rPr>
              <w:t xml:space="preserve"> Р</w:t>
            </w:r>
            <w:r w:rsidRPr="003D53D2">
              <w:rPr>
                <w:color w:val="000000"/>
              </w:rPr>
              <w:t>АО – Центр управления закупками» (СЗО)</w:t>
            </w:r>
          </w:p>
        </w:tc>
        <w:tc>
          <w:tcPr>
            <w:tcW w:w="6804" w:type="dxa"/>
            <w:shd w:val="clear" w:color="auto" w:fill="auto"/>
            <w:vAlign w:val="center"/>
          </w:tcPr>
          <w:p w:rsidR="00BF662A" w:rsidRPr="003D53D2" w:rsidRDefault="00BF662A" w:rsidP="00B74838">
            <w:pPr>
              <w:rPr>
                <w:color w:val="000000"/>
              </w:rPr>
            </w:pPr>
            <w:r w:rsidRPr="003D53D2">
              <w:rPr>
                <w:color w:val="000000"/>
              </w:rPr>
              <w:t>закупочные процедуры Группы, сумма по которым не превышает 250 млн. рублей без НДС, организатором которых является ООО «</w:t>
            </w:r>
            <w:r w:rsidR="00B74838">
              <w:rPr>
                <w:color w:val="000000"/>
              </w:rPr>
              <w:t xml:space="preserve">Интер </w:t>
            </w:r>
            <w:r w:rsidRPr="003D53D2">
              <w:rPr>
                <w:color w:val="000000"/>
              </w:rPr>
              <w:t>РАО – Центр управления закупками» (СЗО) в части не противоречащей подпункту выше</w:t>
            </w:r>
          </w:p>
        </w:tc>
      </w:tr>
      <w:tr w:rsidR="00BF662A" w:rsidRPr="003D53D2" w:rsidTr="00C242C7">
        <w:trPr>
          <w:trHeight w:val="916"/>
        </w:trPr>
        <w:tc>
          <w:tcPr>
            <w:tcW w:w="3119" w:type="dxa"/>
            <w:shd w:val="clear" w:color="auto" w:fill="auto"/>
            <w:vAlign w:val="center"/>
          </w:tcPr>
          <w:p w:rsidR="00BF662A" w:rsidRPr="003D53D2" w:rsidRDefault="00BF662A" w:rsidP="00C242C7">
            <w:pPr>
              <w:rPr>
                <w:color w:val="000000"/>
              </w:rPr>
            </w:pPr>
            <w:r w:rsidRPr="003D53D2">
              <w:rPr>
                <w:color w:val="000000"/>
              </w:rPr>
              <w:t>Работник</w:t>
            </w:r>
          </w:p>
          <w:p w:rsidR="00BF662A" w:rsidRPr="003D53D2" w:rsidRDefault="00BF662A" w:rsidP="004A3412">
            <w:pPr>
              <w:rPr>
                <w:color w:val="000000"/>
              </w:rPr>
            </w:pPr>
            <w:r w:rsidRPr="003D53D2">
              <w:rPr>
                <w:color w:val="000000"/>
              </w:rPr>
              <w:t xml:space="preserve">финансово-экономической службы </w:t>
            </w:r>
            <w:r w:rsidR="00B74838">
              <w:rPr>
                <w:color w:val="000000"/>
              </w:rPr>
              <w:t>АО «РСП ТПК КГРЭС»</w:t>
            </w:r>
          </w:p>
        </w:tc>
        <w:tc>
          <w:tcPr>
            <w:tcW w:w="6804" w:type="dxa"/>
            <w:shd w:val="clear" w:color="auto" w:fill="auto"/>
            <w:vAlign w:val="center"/>
          </w:tcPr>
          <w:p w:rsidR="00BF662A" w:rsidRPr="003D53D2" w:rsidRDefault="00BF662A" w:rsidP="00B74838">
            <w:pPr>
              <w:rPr>
                <w:color w:val="000000"/>
              </w:rPr>
            </w:pPr>
            <w:r w:rsidRPr="003D53D2">
              <w:rPr>
                <w:color w:val="000000"/>
              </w:rPr>
              <w:t xml:space="preserve">закупочные процедуры, осуществляемые для собственных нужд </w:t>
            </w:r>
            <w:r w:rsidR="00B74838">
              <w:rPr>
                <w:color w:val="000000"/>
              </w:rPr>
              <w:t>АО «РСП ТПК КГРЭС»</w:t>
            </w:r>
            <w:r w:rsidRPr="003D53D2">
              <w:rPr>
                <w:color w:val="000000"/>
              </w:rPr>
              <w:t>, организатор</w:t>
            </w:r>
            <w:r w:rsidR="00B74838">
              <w:rPr>
                <w:color w:val="000000"/>
              </w:rPr>
              <w:t>о</w:t>
            </w:r>
            <w:r w:rsidRPr="003D53D2">
              <w:rPr>
                <w:color w:val="000000"/>
              </w:rPr>
              <w:t xml:space="preserve">м </w:t>
            </w:r>
            <w:r w:rsidR="00B74838">
              <w:rPr>
                <w:color w:val="000000"/>
              </w:rPr>
              <w:t>которых является АО «РСП ТПК КГРЭС»</w:t>
            </w:r>
            <w:r w:rsidRPr="003D53D2">
              <w:rPr>
                <w:color w:val="000000"/>
              </w:rPr>
              <w:t>, сумма закупки не превышает 250 млн. рублей без НДС в части не противоречащей подпунктам выше</w:t>
            </w:r>
          </w:p>
        </w:tc>
      </w:tr>
    </w:tbl>
    <w:p w:rsidR="00BF662A" w:rsidRPr="003D53D2" w:rsidRDefault="00BF662A" w:rsidP="00C242C7">
      <w:pPr>
        <w:jc w:val="both"/>
        <w:rPr>
          <w:i/>
        </w:rPr>
      </w:pPr>
      <w:r w:rsidRPr="003D53D2">
        <w:rPr>
          <w:i/>
        </w:rPr>
        <w:t>* здесь и далее под суммой закупки подразумевается сумма, установленная в ГКПЗ, при отсутствии цены ГКПЗ указывается средняя стоимость, предложенная участниками закупочной процедуры. Конкурентные закупочные процедуры, по итогам проведения которых планируется заключение рамочных соглашений и договоров (предварительные отборы), рассматриваются в случае, если сумма таких закупок в годовом выражении превышает 250 млн рублей без НДС; в качестве суммы закупки указывается лимит (максимальная сумма), который не должен быть превышен в течение всего срока действия рамочного соглашения-</w:t>
      </w:r>
    </w:p>
    <w:p w:rsidR="00BF662A" w:rsidRPr="003D53D2" w:rsidRDefault="00BF662A" w:rsidP="00C242C7">
      <w:pPr>
        <w:jc w:val="both"/>
        <w:rPr>
          <w:i/>
        </w:rPr>
      </w:pPr>
      <w:r w:rsidRPr="003D53D2">
        <w:rPr>
          <w:i/>
        </w:rPr>
        <w:t>** оценка финансовой устойчивости финансовых организаций проводится на основе Методики оценки и ограничения кредитного риска по операциям с банками-контрагентами и прочими финансовыми организациями, утвержденной приказом № ИРАО655 от 14.12.2017</w:t>
      </w:r>
    </w:p>
    <w:p w:rsidR="008E53D5" w:rsidRPr="00534B00" w:rsidRDefault="00DC15CB" w:rsidP="00C242C7">
      <w:pPr>
        <w:spacing w:after="200" w:line="276" w:lineRule="auto"/>
        <w:rPr>
          <w:rFonts w:eastAsia="Calibri"/>
          <w:b/>
          <w:lang w:eastAsia="en-US"/>
        </w:rPr>
      </w:pPr>
      <w:r>
        <w:rPr>
          <w:rFonts w:eastAsia="Calibri"/>
          <w:b/>
          <w:lang w:eastAsia="en-US"/>
        </w:rPr>
        <w:br w:type="page"/>
      </w:r>
    </w:p>
    <w:p w:rsidR="00BF662A" w:rsidRPr="003D53D2" w:rsidRDefault="00BF662A" w:rsidP="00C242C7">
      <w:pPr>
        <w:jc w:val="both"/>
        <w:rPr>
          <w:rFonts w:eastAsia="Calibri"/>
          <w:b/>
          <w:lang w:eastAsia="en-US"/>
        </w:rPr>
      </w:pPr>
      <w:r w:rsidRPr="003D53D2">
        <w:rPr>
          <w:rFonts w:eastAsia="Calibri"/>
          <w:b/>
          <w:lang w:eastAsia="en-US"/>
        </w:rPr>
        <w:lastRenderedPageBreak/>
        <w:t>Функции контроля в части проведения финансово-экономической экспертизы</w:t>
      </w:r>
    </w:p>
    <w:p w:rsidR="00BF662A" w:rsidRPr="003D53D2" w:rsidRDefault="00BF662A" w:rsidP="00C242C7">
      <w:pPr>
        <w:spacing w:after="200"/>
        <w:contextualSpacing/>
        <w:jc w:val="both"/>
        <w:rPr>
          <w:rFonts w:eastAsia="Calibri"/>
          <w:lang w:eastAsia="en-US"/>
        </w:rPr>
      </w:pPr>
    </w:p>
    <w:p w:rsidR="00BF662A" w:rsidRPr="00B74838" w:rsidRDefault="00BF662A" w:rsidP="00C242C7">
      <w:pPr>
        <w:spacing w:after="200"/>
        <w:contextualSpacing/>
        <w:jc w:val="both"/>
        <w:rPr>
          <w:rFonts w:eastAsia="Calibri"/>
          <w:lang w:eastAsia="en-US"/>
        </w:rPr>
      </w:pPr>
      <w:r w:rsidRPr="00B74838">
        <w:rPr>
          <w:rFonts w:eastAsia="Calibri"/>
          <w:lang w:eastAsia="en-US"/>
        </w:rPr>
        <w:t>Для целей оперативного мониторинга и анализа эффективности мероприятий по проведению финансово-экономической экспертизы ООО «И</w:t>
      </w:r>
      <w:r w:rsidR="00056D93" w:rsidRPr="00B74838">
        <w:rPr>
          <w:rFonts w:eastAsia="Calibri"/>
          <w:lang w:eastAsia="en-US"/>
        </w:rPr>
        <w:t>нтер</w:t>
      </w:r>
      <w:r w:rsidRPr="00B74838">
        <w:rPr>
          <w:rFonts w:eastAsia="Calibri"/>
          <w:lang w:eastAsia="en-US"/>
        </w:rPr>
        <w:t xml:space="preserve"> РАО – Центр управления закупками» (СЗО) консолидирует информацию о результатах финансово-экономической экспертизы по закупочным процедурам, организованным ООО «И</w:t>
      </w:r>
      <w:r w:rsidR="00056D93" w:rsidRPr="00B74838">
        <w:rPr>
          <w:rFonts w:eastAsia="Calibri"/>
          <w:lang w:eastAsia="en-US"/>
        </w:rPr>
        <w:t>нтер</w:t>
      </w:r>
      <w:r w:rsidRPr="00B74838">
        <w:rPr>
          <w:rFonts w:eastAsia="Calibri"/>
          <w:lang w:eastAsia="en-US"/>
        </w:rPr>
        <w:t xml:space="preserve"> РАО – Центр управления закупками» для нужд компаний Группы «Интер РАО».</w:t>
      </w:r>
    </w:p>
    <w:p w:rsidR="00BF662A" w:rsidRPr="003D53D2" w:rsidRDefault="00BF662A" w:rsidP="00C242C7">
      <w:pPr>
        <w:spacing w:after="200"/>
        <w:contextualSpacing/>
        <w:jc w:val="both"/>
        <w:rPr>
          <w:rFonts w:eastAsia="Calibri"/>
          <w:lang w:eastAsia="en-US"/>
        </w:rPr>
      </w:pPr>
      <w:r w:rsidRPr="00B74838">
        <w:rPr>
          <w:rFonts w:eastAsia="Calibri"/>
          <w:lang w:eastAsia="en-US"/>
        </w:rPr>
        <w:t>По итогам каждого полугодия в срок не позднее 31 августа отчетного года для первого полугодия отчетного года и не позднее 28 февраля последующего года для второго полугодия отчетного года ООО «И</w:t>
      </w:r>
      <w:r w:rsidR="00056D93" w:rsidRPr="00B74838">
        <w:rPr>
          <w:rFonts w:eastAsia="Calibri"/>
          <w:lang w:eastAsia="en-US"/>
        </w:rPr>
        <w:t>нтер</w:t>
      </w:r>
      <w:r w:rsidRPr="00B74838">
        <w:rPr>
          <w:rFonts w:eastAsia="Calibri"/>
          <w:lang w:eastAsia="en-US"/>
        </w:rPr>
        <w:t xml:space="preserve"> РАО – Центр управления закупками» (СЗО) формирует и направляет официальным письмом в адрес руководителя Финансово-экономического центра ПАО «Интер РАО» отчет о проведенных финансово-экономических экспертизах по всем состоявшимся закупочным процедурам, организованным, ООО «И</w:t>
      </w:r>
      <w:r w:rsidR="00056D93" w:rsidRPr="00B74838">
        <w:rPr>
          <w:rFonts w:eastAsia="Calibri"/>
          <w:lang w:eastAsia="en-US"/>
        </w:rPr>
        <w:t>нтер</w:t>
      </w:r>
      <w:r w:rsidRPr="00B74838">
        <w:rPr>
          <w:rFonts w:eastAsia="Calibri"/>
          <w:lang w:eastAsia="en-US"/>
        </w:rPr>
        <w:t xml:space="preserve"> РАО – Центр управления закупками» (СЗО), на сумму свыше 30 млн. рублей без НДС. Отчет предоставляется в формате таблицы </w:t>
      </w:r>
      <w:r w:rsidRPr="00B74838">
        <w:rPr>
          <w:rFonts w:eastAsia="Calibri"/>
          <w:lang w:val="en-US" w:eastAsia="en-US"/>
        </w:rPr>
        <w:t>MS</w:t>
      </w:r>
      <w:r w:rsidRPr="00B74838">
        <w:rPr>
          <w:rFonts w:eastAsia="Calibri"/>
          <w:lang w:eastAsia="en-US"/>
        </w:rPr>
        <w:t xml:space="preserve"> </w:t>
      </w:r>
      <w:r w:rsidRPr="00B74838">
        <w:rPr>
          <w:rFonts w:eastAsia="Calibri"/>
          <w:lang w:val="en-US" w:eastAsia="en-US"/>
        </w:rPr>
        <w:t>EXCEL</w:t>
      </w:r>
      <w:r w:rsidRPr="00B74838">
        <w:rPr>
          <w:rFonts w:eastAsia="Calibri"/>
          <w:lang w:eastAsia="en-US"/>
        </w:rPr>
        <w:t xml:space="preserve"> и по каждой закупочной процедуре содержит следующие поля:</w:t>
      </w:r>
    </w:p>
    <w:p w:rsidR="00BF662A" w:rsidRPr="003D53D2" w:rsidRDefault="00BF662A" w:rsidP="00C242C7">
      <w:pPr>
        <w:spacing w:after="200"/>
        <w:contextualSpacing/>
        <w:jc w:val="both"/>
        <w:rPr>
          <w:rFonts w:eastAsia="Calibri"/>
          <w:lang w:eastAsia="en-US"/>
        </w:rPr>
      </w:pPr>
    </w:p>
    <w:p w:rsidR="00BF662A" w:rsidRPr="003D53D2" w:rsidRDefault="00BF662A" w:rsidP="00C242C7">
      <w:pPr>
        <w:numPr>
          <w:ilvl w:val="0"/>
          <w:numId w:val="22"/>
        </w:numPr>
        <w:spacing w:after="200"/>
        <w:ind w:left="0" w:firstLine="0"/>
        <w:contextualSpacing/>
        <w:jc w:val="both"/>
        <w:rPr>
          <w:rFonts w:eastAsia="Calibri"/>
          <w:lang w:eastAsia="en-US"/>
        </w:rPr>
      </w:pPr>
      <w:r w:rsidRPr="003D53D2">
        <w:rPr>
          <w:rFonts w:eastAsia="Calibri"/>
          <w:lang w:eastAsia="en-US"/>
        </w:rPr>
        <w:t>Наименование закупочной процедуры (Лот №);</w:t>
      </w:r>
    </w:p>
    <w:p w:rsidR="00BF662A" w:rsidRPr="003D53D2" w:rsidRDefault="00BF662A" w:rsidP="00C242C7">
      <w:pPr>
        <w:numPr>
          <w:ilvl w:val="0"/>
          <w:numId w:val="22"/>
        </w:numPr>
        <w:spacing w:after="200"/>
        <w:ind w:left="0" w:firstLine="0"/>
        <w:contextualSpacing/>
        <w:jc w:val="both"/>
        <w:rPr>
          <w:rFonts w:eastAsia="Calibri"/>
          <w:lang w:eastAsia="en-US"/>
        </w:rPr>
      </w:pPr>
      <w:r w:rsidRPr="003D53D2">
        <w:rPr>
          <w:rFonts w:eastAsia="Calibri"/>
          <w:lang w:eastAsia="en-US"/>
        </w:rPr>
        <w:t>Стоимость, предложенная победителем (тыс. рублей без НДС);</w:t>
      </w:r>
    </w:p>
    <w:p w:rsidR="00BF662A" w:rsidRPr="003D53D2" w:rsidRDefault="00BF662A" w:rsidP="00C242C7">
      <w:pPr>
        <w:numPr>
          <w:ilvl w:val="0"/>
          <w:numId w:val="22"/>
        </w:numPr>
        <w:spacing w:after="200"/>
        <w:ind w:left="0" w:firstLine="0"/>
        <w:contextualSpacing/>
        <w:jc w:val="both"/>
        <w:rPr>
          <w:rFonts w:eastAsia="Calibri"/>
          <w:lang w:eastAsia="en-US"/>
        </w:rPr>
      </w:pPr>
      <w:r w:rsidRPr="003D53D2">
        <w:rPr>
          <w:rFonts w:eastAsia="Calibri"/>
          <w:lang w:eastAsia="en-US"/>
        </w:rPr>
        <w:t>Победитель закупочной процедуры (ИНН);</w:t>
      </w:r>
    </w:p>
    <w:p w:rsidR="00BF662A" w:rsidRPr="003D53D2" w:rsidRDefault="00BF662A" w:rsidP="00C242C7">
      <w:pPr>
        <w:numPr>
          <w:ilvl w:val="0"/>
          <w:numId w:val="22"/>
        </w:numPr>
        <w:spacing w:after="200"/>
        <w:ind w:left="0" w:firstLine="0"/>
        <w:contextualSpacing/>
        <w:jc w:val="both"/>
        <w:rPr>
          <w:rFonts w:eastAsia="Calibri"/>
          <w:lang w:eastAsia="en-US"/>
        </w:rPr>
      </w:pPr>
      <w:r w:rsidRPr="003D53D2">
        <w:rPr>
          <w:rFonts w:eastAsia="Calibri"/>
          <w:lang w:eastAsia="en-US"/>
        </w:rPr>
        <w:t>Экспертная оценка победителя в рамках финэкспертизы (от 1 до 5);</w:t>
      </w:r>
    </w:p>
    <w:p w:rsidR="00BF662A" w:rsidRPr="003D53D2" w:rsidRDefault="00BF662A" w:rsidP="00C242C7">
      <w:pPr>
        <w:numPr>
          <w:ilvl w:val="0"/>
          <w:numId w:val="22"/>
        </w:numPr>
        <w:spacing w:after="200"/>
        <w:ind w:left="0" w:firstLine="0"/>
        <w:contextualSpacing/>
        <w:jc w:val="both"/>
        <w:rPr>
          <w:rFonts w:eastAsia="Calibri"/>
          <w:lang w:eastAsia="en-US"/>
        </w:rPr>
      </w:pPr>
      <w:r w:rsidRPr="003D53D2">
        <w:rPr>
          <w:rFonts w:eastAsia="Calibri"/>
          <w:lang w:eastAsia="en-US"/>
        </w:rPr>
        <w:t>Осуществлялись ли экспертные корректировки (да/нет).</w:t>
      </w:r>
    </w:p>
    <w:p w:rsidR="00BF662A" w:rsidRPr="003D53D2" w:rsidRDefault="00BF662A" w:rsidP="00C242C7">
      <w:pPr>
        <w:spacing w:after="200"/>
        <w:contextualSpacing/>
        <w:jc w:val="both"/>
        <w:rPr>
          <w:rFonts w:eastAsia="Calibri"/>
          <w:lang w:eastAsia="en-US"/>
        </w:rPr>
      </w:pPr>
    </w:p>
    <w:p w:rsidR="00AF7DDD" w:rsidRPr="00534B00" w:rsidRDefault="00BF662A" w:rsidP="00C242C7">
      <w:pPr>
        <w:spacing w:after="200"/>
        <w:contextualSpacing/>
        <w:jc w:val="both"/>
        <w:rPr>
          <w:rFonts w:eastAsia="Calibri"/>
          <w:lang w:eastAsia="en-US"/>
        </w:rPr>
      </w:pPr>
      <w:r w:rsidRPr="003D53D2">
        <w:rPr>
          <w:rFonts w:eastAsia="Calibri"/>
          <w:lang w:eastAsia="en-US"/>
        </w:rPr>
        <w:t xml:space="preserve">При необходимости Финансово-экономическим центром ПАО «Интер РАО» может быть запрошена дополнительная информация по проведенным закупочным </w:t>
      </w:r>
      <w:bookmarkStart w:id="90" w:name="_Toc326067325"/>
      <w:bookmarkStart w:id="91" w:name="_Toc516132534"/>
      <w:r w:rsidR="00AF7DDD">
        <w:rPr>
          <w:rFonts w:eastAsia="Calibri"/>
          <w:lang w:eastAsia="en-US"/>
        </w:rPr>
        <w:t>процедура</w:t>
      </w:r>
    </w:p>
    <w:p w:rsidR="00AF7DDD" w:rsidRPr="00534B00" w:rsidRDefault="00AF7DDD" w:rsidP="00C242C7">
      <w:pPr>
        <w:spacing w:after="200"/>
        <w:contextualSpacing/>
        <w:jc w:val="both"/>
        <w:rPr>
          <w:rFonts w:eastAsia="Calibri"/>
          <w:lang w:eastAsia="en-US"/>
        </w:rPr>
      </w:pPr>
    </w:p>
    <w:p w:rsidR="00AF7DDD" w:rsidRPr="00DC15CB" w:rsidRDefault="00DC15CB" w:rsidP="00C242C7">
      <w:pPr>
        <w:spacing w:after="200" w:line="276" w:lineRule="auto"/>
        <w:rPr>
          <w:rStyle w:val="10"/>
          <w:rFonts w:eastAsia="Calibri"/>
          <w:b w:val="0"/>
          <w:bCs/>
          <w:lang w:eastAsia="en-US"/>
        </w:rPr>
      </w:pPr>
      <w:r>
        <w:rPr>
          <w:rFonts w:eastAsia="Calibri"/>
          <w:lang w:eastAsia="en-US"/>
        </w:rPr>
        <w:br w:type="page"/>
      </w:r>
    </w:p>
    <w:p w:rsidR="00BF662A" w:rsidRPr="00AF7DDD" w:rsidRDefault="00BF662A" w:rsidP="00C242C7">
      <w:pPr>
        <w:spacing w:after="200"/>
        <w:contextualSpacing/>
        <w:jc w:val="both"/>
        <w:rPr>
          <w:rStyle w:val="10"/>
          <w:rFonts w:eastAsia="Calibri"/>
          <w:b w:val="0"/>
          <w:bCs/>
          <w:lang w:eastAsia="en-US"/>
        </w:rPr>
      </w:pPr>
      <w:bookmarkStart w:id="92" w:name="_Toc518302245"/>
      <w:r w:rsidRPr="003D53D2">
        <w:rPr>
          <w:rStyle w:val="10"/>
        </w:rPr>
        <w:lastRenderedPageBreak/>
        <w:t>Приложение 2</w:t>
      </w:r>
      <w:bookmarkEnd w:id="88"/>
      <w:r w:rsidRPr="003D53D2">
        <w:rPr>
          <w:rStyle w:val="10"/>
        </w:rPr>
        <w:t xml:space="preserve"> Алгоритм действия Эксперта при подготовке заключения по направлению финансово-экономической экспертизы</w:t>
      </w:r>
      <w:bookmarkEnd w:id="90"/>
      <w:r w:rsidRPr="003D53D2">
        <w:rPr>
          <w:rStyle w:val="10"/>
        </w:rPr>
        <w:t xml:space="preserve"> </w:t>
      </w:r>
      <w:bookmarkEnd w:id="89"/>
      <w:r w:rsidRPr="003D53D2">
        <w:rPr>
          <w:rStyle w:val="10"/>
        </w:rPr>
        <w:t>с использованием шаблона «Финэкспертиза.</w:t>
      </w:r>
      <w:r w:rsidRPr="003D53D2">
        <w:rPr>
          <w:rStyle w:val="10"/>
          <w:lang w:val="en-US"/>
        </w:rPr>
        <w:t>xls</w:t>
      </w:r>
      <w:r w:rsidRPr="003D53D2">
        <w:rPr>
          <w:rStyle w:val="10"/>
        </w:rPr>
        <w:t>» (по закупочным процедурам</w:t>
      </w:r>
      <w:r w:rsidR="004C0780">
        <w:rPr>
          <w:rStyle w:val="10"/>
        </w:rPr>
        <w:t>, проводимым на общих основаниях</w:t>
      </w:r>
      <w:r w:rsidRPr="003D53D2">
        <w:rPr>
          <w:rStyle w:val="10"/>
        </w:rPr>
        <w:t>)</w:t>
      </w:r>
      <w:bookmarkEnd w:id="91"/>
      <w:bookmarkEnd w:id="92"/>
    </w:p>
    <w:p w:rsidR="00BF662A" w:rsidRPr="003D53D2" w:rsidRDefault="00BF662A" w:rsidP="00C242C7">
      <w:pPr>
        <w:numPr>
          <w:ilvl w:val="0"/>
          <w:numId w:val="16"/>
        </w:numPr>
        <w:ind w:left="0" w:firstLine="0"/>
        <w:jc w:val="both"/>
        <w:rPr>
          <w:b/>
        </w:rPr>
      </w:pPr>
      <w:r w:rsidRPr="003D53D2">
        <w:rPr>
          <w:b/>
        </w:rPr>
        <w:t>Формат заключения</w:t>
      </w:r>
    </w:p>
    <w:p w:rsidR="00BF662A" w:rsidRPr="003D53D2" w:rsidRDefault="00BF662A" w:rsidP="00C242C7">
      <w:pPr>
        <w:numPr>
          <w:ilvl w:val="1"/>
          <w:numId w:val="16"/>
        </w:numPr>
        <w:ind w:left="0" w:firstLine="0"/>
        <w:jc w:val="both"/>
        <w:rPr>
          <w:b/>
        </w:rPr>
      </w:pPr>
      <w:r w:rsidRPr="003D53D2">
        <w:t>Для реализации подхода к проведению финансово-экономической экспертизы согласно Методике Финансово-экономическим центром ПАО «Интер РАО» разработан шаблон «Финэкспертиза.</w:t>
      </w:r>
      <w:r w:rsidRPr="003D53D2">
        <w:rPr>
          <w:lang w:val="en-US"/>
        </w:rPr>
        <w:t>xls</w:t>
      </w:r>
      <w:r w:rsidRPr="003D53D2">
        <w:t xml:space="preserve">» (файл в формате </w:t>
      </w:r>
      <w:r w:rsidRPr="003D53D2">
        <w:rPr>
          <w:lang w:val="en-US"/>
        </w:rPr>
        <w:t>MS</w:t>
      </w:r>
      <w:r w:rsidRPr="003D53D2">
        <w:t xml:space="preserve"> </w:t>
      </w:r>
      <w:r w:rsidRPr="003D53D2">
        <w:rPr>
          <w:lang w:val="en-US"/>
        </w:rPr>
        <w:t>Excel</w:t>
      </w:r>
      <w:r w:rsidRPr="003D53D2">
        <w:t>), куда внесены формулы для расчета финансовых показателей и весовые коэффициенты. В шаблоне также осуществляется расчет итогового показателя, используемого для ранжирования участников закупочной процедуры. Шаблон «Финэкспертиза.</w:t>
      </w:r>
      <w:r w:rsidRPr="003D53D2">
        <w:rPr>
          <w:lang w:val="en-US"/>
        </w:rPr>
        <w:t>xls</w:t>
      </w:r>
      <w:r w:rsidRPr="003D53D2">
        <w:t>» прикладывается к Методике.</w:t>
      </w:r>
    </w:p>
    <w:p w:rsidR="00BF662A" w:rsidRPr="003D53D2" w:rsidRDefault="00BF662A" w:rsidP="00C242C7">
      <w:pPr>
        <w:numPr>
          <w:ilvl w:val="1"/>
          <w:numId w:val="16"/>
        </w:numPr>
        <w:ind w:left="0" w:firstLine="0"/>
        <w:jc w:val="both"/>
        <w:rPr>
          <w:b/>
        </w:rPr>
      </w:pPr>
      <w:r w:rsidRPr="003D53D2">
        <w:t>Заключение по направлению финансово-экономической экспертизы готовится Экспертом по форме, установленной в приложении 4. Формат таблицы в приложении полностью соответствует формату шаблона «Финэкспертиза.</w:t>
      </w:r>
      <w:r w:rsidRPr="003D53D2">
        <w:rPr>
          <w:lang w:val="en-US"/>
        </w:rPr>
        <w:t>xls</w:t>
      </w:r>
      <w:r w:rsidRPr="003D53D2">
        <w:t>», используемого для расчёта финансовых коэффициентов.</w:t>
      </w:r>
    </w:p>
    <w:p w:rsidR="00BF662A" w:rsidRPr="003D53D2" w:rsidRDefault="00BF662A" w:rsidP="00C242C7">
      <w:pPr>
        <w:numPr>
          <w:ilvl w:val="0"/>
          <w:numId w:val="16"/>
        </w:numPr>
        <w:ind w:left="0" w:firstLine="0"/>
        <w:jc w:val="both"/>
        <w:rPr>
          <w:b/>
        </w:rPr>
      </w:pPr>
      <w:r w:rsidRPr="003D53D2">
        <w:rPr>
          <w:b/>
        </w:rPr>
        <w:t>Оценка по критериям и подготовка заключения</w:t>
      </w:r>
    </w:p>
    <w:p w:rsidR="00BF662A" w:rsidRPr="003D53D2" w:rsidRDefault="00BF662A" w:rsidP="00C242C7">
      <w:pPr>
        <w:numPr>
          <w:ilvl w:val="1"/>
          <w:numId w:val="16"/>
        </w:numPr>
        <w:ind w:left="0" w:firstLine="0"/>
        <w:jc w:val="both"/>
      </w:pPr>
      <w:r w:rsidRPr="003D53D2">
        <w:t>Перед началом рассмотрения и оценки предложений участников закупочной процедуры Эксперт должен ознакомиться с условиями закупочной процедуры, изложенными в извещении о проведении закупочной процедуры и закупочной документации. Эксперт должен проверить наличие и полноту документов, необходимых для проведения финансово-экономической экспертизы. Эксперт вправе предложить закупочной комиссии затребовать от любого участника закупочной процедуры предоставления дополнительных сведений, необходимых для проведения экспертизы. Такое предложение должно сопровождаться письменным обоснованием необходимости запрашиваемой информации для оценки.</w:t>
      </w:r>
    </w:p>
    <w:p w:rsidR="00BF662A" w:rsidRPr="003D53D2" w:rsidRDefault="00BF662A" w:rsidP="00C242C7">
      <w:pPr>
        <w:numPr>
          <w:ilvl w:val="1"/>
          <w:numId w:val="16"/>
        </w:numPr>
        <w:ind w:left="0" w:firstLine="0"/>
        <w:jc w:val="both"/>
      </w:pPr>
      <w:r w:rsidRPr="003D53D2">
        <w:t>Подготовка заключения начинается с внесения Экспертом исходных данных в шаблон «Финэкспертиза.</w:t>
      </w:r>
      <w:r w:rsidRPr="003D53D2">
        <w:rPr>
          <w:lang w:val="en-US"/>
        </w:rPr>
        <w:t>xls</w:t>
      </w:r>
      <w:r w:rsidRPr="003D53D2">
        <w:t>» для осуществления оценки. Обязательными для заполнения являются следующие графы таблицы:</w:t>
      </w:r>
    </w:p>
    <w:p w:rsidR="00BF662A" w:rsidRPr="003D53D2" w:rsidRDefault="00BF662A" w:rsidP="00C242C7">
      <w:pPr>
        <w:numPr>
          <w:ilvl w:val="0"/>
          <w:numId w:val="17"/>
        </w:numPr>
        <w:ind w:left="0" w:firstLine="0"/>
        <w:jc w:val="both"/>
      </w:pPr>
      <w:r w:rsidRPr="003D53D2">
        <w:t>название компании;</w:t>
      </w:r>
    </w:p>
    <w:p w:rsidR="00BF662A" w:rsidRPr="003D53D2" w:rsidRDefault="00BF662A" w:rsidP="00C242C7">
      <w:pPr>
        <w:numPr>
          <w:ilvl w:val="0"/>
          <w:numId w:val="17"/>
        </w:numPr>
        <w:ind w:left="0" w:firstLine="0"/>
        <w:jc w:val="both"/>
      </w:pPr>
      <w:r w:rsidRPr="003D53D2">
        <w:t>ИНН;</w:t>
      </w:r>
    </w:p>
    <w:p w:rsidR="00BF662A" w:rsidRPr="003D53D2" w:rsidRDefault="00BF662A" w:rsidP="00C242C7">
      <w:pPr>
        <w:numPr>
          <w:ilvl w:val="0"/>
          <w:numId w:val="17"/>
        </w:numPr>
        <w:ind w:left="0" w:firstLine="0"/>
        <w:jc w:val="both"/>
      </w:pPr>
      <w:r w:rsidRPr="003D53D2">
        <w:t>регион;</w:t>
      </w:r>
    </w:p>
    <w:p w:rsidR="00BF662A" w:rsidRPr="003D53D2" w:rsidRDefault="00BF662A" w:rsidP="00C242C7">
      <w:pPr>
        <w:numPr>
          <w:ilvl w:val="0"/>
          <w:numId w:val="17"/>
        </w:numPr>
        <w:ind w:left="0" w:firstLine="0"/>
        <w:jc w:val="both"/>
      </w:pPr>
      <w:r w:rsidRPr="003D53D2">
        <w:t>дата регистрации;</w:t>
      </w:r>
    </w:p>
    <w:p w:rsidR="00BF662A" w:rsidRPr="003D53D2" w:rsidRDefault="00BF662A" w:rsidP="00C242C7">
      <w:pPr>
        <w:numPr>
          <w:ilvl w:val="0"/>
          <w:numId w:val="17"/>
        </w:numPr>
        <w:ind w:left="0" w:firstLine="0"/>
        <w:jc w:val="both"/>
      </w:pPr>
      <w:r w:rsidRPr="003D53D2">
        <w:t>основной вид деятельности (ОКВЭД);</w:t>
      </w:r>
    </w:p>
    <w:p w:rsidR="00BF662A" w:rsidRPr="003D53D2" w:rsidRDefault="00BF662A" w:rsidP="00C242C7">
      <w:pPr>
        <w:numPr>
          <w:ilvl w:val="0"/>
          <w:numId w:val="17"/>
        </w:numPr>
        <w:ind w:left="0" w:firstLine="0"/>
        <w:jc w:val="both"/>
      </w:pPr>
      <w:r w:rsidRPr="003D53D2">
        <w:t>стоимость предложения, тыс. руб. без НДС</w:t>
      </w:r>
    </w:p>
    <w:p w:rsidR="00BF662A" w:rsidRPr="003D53D2" w:rsidRDefault="00BF662A" w:rsidP="00C242C7">
      <w:pPr>
        <w:numPr>
          <w:ilvl w:val="0"/>
          <w:numId w:val="17"/>
        </w:numPr>
        <w:ind w:left="0" w:firstLine="0"/>
        <w:jc w:val="both"/>
      </w:pPr>
      <w:r w:rsidRPr="003D53D2">
        <w:t>сумма задолженности по начисленным налогам, сборам и иным обязательным платежам, тыс. руб.</w:t>
      </w:r>
    </w:p>
    <w:p w:rsidR="00BF662A" w:rsidRPr="003D53D2" w:rsidRDefault="00BF662A" w:rsidP="00C242C7">
      <w:pPr>
        <w:numPr>
          <w:ilvl w:val="0"/>
          <w:numId w:val="17"/>
        </w:numPr>
        <w:ind w:left="0" w:firstLine="0"/>
        <w:jc w:val="both"/>
      </w:pPr>
      <w:r w:rsidRPr="003D53D2">
        <w:t>данные бухгалтерской отчетности</w:t>
      </w:r>
    </w:p>
    <w:p w:rsidR="00BF662A" w:rsidRPr="003D53D2" w:rsidRDefault="00072E2C" w:rsidP="00C242C7">
      <w:pPr>
        <w:numPr>
          <w:ilvl w:val="1"/>
          <w:numId w:val="16"/>
        </w:numPr>
        <w:ind w:left="0" w:firstLine="0"/>
        <w:jc w:val="both"/>
      </w:pPr>
      <w:r w:rsidRPr="003D53D2">
        <w:t xml:space="preserve">Источниками информации при заполнении сводной таблицы для формирования итогового заключения служат бухгалтерская отчетность участника закупочной процедуры с </w:t>
      </w:r>
      <w:r w:rsidRPr="00136BB9">
        <w:t>подтверждением предоставления в ИФНС</w:t>
      </w:r>
      <w:r w:rsidRPr="003D53D2">
        <w:t>, копия устава, копия выписки из ЕГРЮЛ/ЕГРИП, анкета, а также оферта участника закупочной процедуры.</w:t>
      </w:r>
    </w:p>
    <w:p w:rsidR="00BF662A" w:rsidRPr="003D53D2" w:rsidRDefault="00072E2C" w:rsidP="00C242C7">
      <w:pPr>
        <w:numPr>
          <w:ilvl w:val="1"/>
          <w:numId w:val="16"/>
        </w:numPr>
        <w:ind w:left="0" w:firstLine="0"/>
        <w:jc w:val="both"/>
      </w:pPr>
      <w:r w:rsidRPr="003D53D2">
        <w:t>Источником информации при заполнении графы «Сумма задолженности по начисленным налогам, сборам и иным обязательным платежам, тыс. руб.» служит копия подписанной и заверенной печатью налогового органа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w:t>
      </w:r>
      <w:r w:rsidRPr="00136BB9">
        <w:t xml:space="preserve">; в случае, если указанные справки предоставляются в форме электронного документа </w:t>
      </w:r>
      <w:r w:rsidRPr="00136BB9">
        <w:lastRenderedPageBreak/>
        <w:t xml:space="preserve">в формате </w:t>
      </w:r>
      <w:r w:rsidRPr="00136BB9">
        <w:rPr>
          <w:lang w:val="en-US"/>
        </w:rPr>
        <w:t>pdf</w:t>
      </w:r>
      <w:r w:rsidRPr="00136BB9">
        <w:t>, такие документы должны содержать усиленную квалифицированную электронную подпись налогового органа и ее визуализацию</w:t>
      </w:r>
      <w:r w:rsidRPr="003D53D2">
        <w:t>.</w:t>
      </w:r>
      <w:r w:rsidR="00BF662A" w:rsidRPr="003D53D2">
        <w:t xml:space="preserve"> </w:t>
      </w:r>
    </w:p>
    <w:p w:rsidR="00BF662A" w:rsidRPr="003D53D2" w:rsidRDefault="00BF662A" w:rsidP="00C242C7">
      <w:pPr>
        <w:jc w:val="both"/>
      </w:pPr>
      <w:r w:rsidRPr="003D53D2">
        <w:t>В случае наличия задолженности по начисленным налогам, сборам и иным обязательным платежам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 а Эксперт внести в графу «Сумма задолженности по начисленным налогам, сборам и иным обязательным платежам, тыс. руб.» указанную в справке сумму задолженности в тысячах российских рублей.</w:t>
      </w:r>
    </w:p>
    <w:p w:rsidR="00BF662A" w:rsidRPr="003D53D2" w:rsidRDefault="00BF662A" w:rsidP="00C242C7">
      <w:pPr>
        <w:jc w:val="both"/>
      </w:pPr>
      <w:r w:rsidRPr="003D53D2">
        <w:t>В случае отсутствия задолженности в графу «Сумма задолженности по начисленным налогам, сборам и иным обязательным платежам, тыс. руб.» Эксперт вносит 0.</w:t>
      </w:r>
    </w:p>
    <w:p w:rsidR="00BF662A" w:rsidRPr="003D53D2" w:rsidRDefault="00BF662A" w:rsidP="00C242C7">
      <w:pPr>
        <w:numPr>
          <w:ilvl w:val="1"/>
          <w:numId w:val="16"/>
        </w:numPr>
        <w:ind w:left="0" w:firstLine="0"/>
        <w:jc w:val="both"/>
      </w:pPr>
      <w:r w:rsidRPr="003D53D2">
        <w:t>При наличии оплаченного доступа к информационно-аналитической системе «Спарк-Интерфакс» (системе, содержащей данные, включая регистрационные и бухгалтерские, по большинству российских юридических лиц) и доступа к сети интернет, в шаблоне «Финэкспертиза.</w:t>
      </w:r>
      <w:r w:rsidRPr="003D53D2">
        <w:rPr>
          <w:lang w:val="en-US"/>
        </w:rPr>
        <w:t>xls</w:t>
      </w:r>
      <w:r w:rsidRPr="003D53D2">
        <w:t>» предусмотрена возможность автоматического заполнения формы.</w:t>
      </w:r>
    </w:p>
    <w:p w:rsidR="00BF662A" w:rsidRPr="003D53D2" w:rsidRDefault="00BF662A" w:rsidP="00C242C7">
      <w:pPr>
        <w:jc w:val="both"/>
      </w:pPr>
      <w:r w:rsidRPr="003D53D2">
        <w:t>Для этого на листе шаблона с соответствующим порядковым номером участника вводится его идентификационный номер налогоплательщика (ИНН), после этого при нажатии ссылки «Загрузить данные из Спарк» автоматически заполняются поля сводной формы.</w:t>
      </w:r>
    </w:p>
    <w:p w:rsidR="00BF662A" w:rsidRPr="003D53D2" w:rsidRDefault="00BF662A" w:rsidP="00C242C7">
      <w:pPr>
        <w:jc w:val="both"/>
      </w:pPr>
      <w:r w:rsidRPr="003D53D2">
        <w:t>В случае отсутствия каких-либо регистрационных или бухгалтерских данных по участнику закупочной процедуры в информационно-аналитической системе «Спарк-Интерфакс» (как правило, это бухгалтерская отчетность за последний отчетный период) недостающая информация вносится в шаблон непосредственно Экспертом.</w:t>
      </w:r>
    </w:p>
    <w:p w:rsidR="00BF662A" w:rsidRPr="003D53D2" w:rsidRDefault="00BF662A" w:rsidP="00C242C7">
      <w:pPr>
        <w:jc w:val="both"/>
      </w:pPr>
      <w:r w:rsidRPr="003D53D2">
        <w:t>Учитывая тот факт, что источником информации в системе «Спарк-Интерфакс» являются официальные государственные органы, такие как Федеральная налоговая служба, Федеральная служба государственной статистики, Федеральная служба по финансовым рынкам, Центральный Банк России и др., – допускается использовать при проведении финансово-экономической экспертизы данные бухгалтерской отчетности, представленные в информационно-аналитической системе «Спарк-Интерфакс».</w:t>
      </w:r>
    </w:p>
    <w:p w:rsidR="00BF662A" w:rsidRPr="003D53D2" w:rsidRDefault="00BF662A" w:rsidP="00C242C7">
      <w:pPr>
        <w:jc w:val="both"/>
      </w:pPr>
      <w:r w:rsidRPr="003D53D2">
        <w:t>В случае расхождения данных бухгалтерской отчетности, предоставленных участником закупочной процедуры, и данных, представленных в информационно-аналитической системе «Спарк-Интерфакс» для расчета финансовых показателей должны использоваться данные, предоставленные непосредственно участником закупочной процедуры. При этом факт расхождения отражается Экспертом в его экспертном заключении.</w:t>
      </w:r>
    </w:p>
    <w:p w:rsidR="00BF662A" w:rsidRPr="003D53D2" w:rsidRDefault="00BF662A" w:rsidP="00C242C7">
      <w:pPr>
        <w:numPr>
          <w:ilvl w:val="1"/>
          <w:numId w:val="16"/>
        </w:numPr>
        <w:ind w:left="0" w:firstLine="0"/>
        <w:jc w:val="both"/>
      </w:pPr>
      <w:r w:rsidRPr="003D53D2">
        <w:t>На основании данных бухгалтерской отчетности в шаблоне «Финэкспертиза.</w:t>
      </w:r>
      <w:r w:rsidRPr="003D53D2">
        <w:rPr>
          <w:lang w:val="en-US"/>
        </w:rPr>
        <w:t>xls</w:t>
      </w:r>
      <w:r w:rsidRPr="003D53D2">
        <w:t>» рассчитываются финансовые коэффициенты и в зависимости от принимаемых значений им присваиваются баллы от 0 до 1.</w:t>
      </w:r>
    </w:p>
    <w:p w:rsidR="00BF662A" w:rsidRPr="003D53D2" w:rsidRDefault="00BF662A" w:rsidP="00C242C7">
      <w:pPr>
        <w:numPr>
          <w:ilvl w:val="1"/>
          <w:numId w:val="16"/>
        </w:numPr>
        <w:ind w:left="0" w:firstLine="0"/>
        <w:jc w:val="both"/>
      </w:pPr>
      <w:r w:rsidRPr="003D53D2">
        <w:t>Затем Эксперт качественно оценивает бизнес-риски, в числе которых:</w:t>
      </w:r>
    </w:p>
    <w:p w:rsidR="00BF662A" w:rsidRPr="003D53D2" w:rsidRDefault="00BF662A" w:rsidP="00C242C7">
      <w:pPr>
        <w:numPr>
          <w:ilvl w:val="0"/>
          <w:numId w:val="18"/>
        </w:numPr>
        <w:ind w:left="0" w:firstLine="0"/>
        <w:jc w:val="both"/>
      </w:pPr>
      <w:r w:rsidRPr="003D53D2">
        <w:t>соответствие основного вида деятельности по классификации ОКВЭД;</w:t>
      </w:r>
    </w:p>
    <w:p w:rsidR="00BF662A" w:rsidRPr="003D53D2" w:rsidRDefault="00BF662A" w:rsidP="00C242C7">
      <w:pPr>
        <w:numPr>
          <w:ilvl w:val="0"/>
          <w:numId w:val="18"/>
        </w:numPr>
        <w:ind w:left="0" w:firstLine="0"/>
        <w:jc w:val="both"/>
      </w:pPr>
      <w:r w:rsidRPr="003D53D2">
        <w:t>численность персонала;</w:t>
      </w:r>
    </w:p>
    <w:p w:rsidR="00BF662A" w:rsidRPr="003D53D2" w:rsidRDefault="00BF662A" w:rsidP="00C242C7">
      <w:pPr>
        <w:numPr>
          <w:ilvl w:val="0"/>
          <w:numId w:val="18"/>
        </w:numPr>
        <w:ind w:left="0" w:firstLine="0"/>
        <w:jc w:val="both"/>
      </w:pPr>
      <w:r w:rsidRPr="003D53D2">
        <w:t>регион ведения деятельности;</w:t>
      </w:r>
    </w:p>
    <w:p w:rsidR="00BF662A" w:rsidRPr="003D53D2" w:rsidRDefault="00BF662A" w:rsidP="00C242C7">
      <w:pPr>
        <w:numPr>
          <w:ilvl w:val="0"/>
          <w:numId w:val="18"/>
        </w:numPr>
        <w:ind w:left="0" w:firstLine="0"/>
        <w:jc w:val="both"/>
      </w:pPr>
      <w:r w:rsidRPr="003D53D2">
        <w:t>финансовые условия сделки.</w:t>
      </w:r>
    </w:p>
    <w:p w:rsidR="00BF662A" w:rsidRPr="003D53D2" w:rsidRDefault="00BF662A" w:rsidP="00C242C7">
      <w:pPr>
        <w:jc w:val="both"/>
      </w:pPr>
      <w:r w:rsidRPr="003D53D2">
        <w:t>Оценки по критериям «соответствие основного вида деятельности по классификации ОКВЭД», «численность персонала», «соответствие региона ведения деятельности» напрямую не участвуют в формировании итоговой оценки по направлению финансово-экономической экспертизы. Однако, в случае если, по мнению эксперта, участие в закупочной процедуре при значительном несоответствии участника по данным критериям может существенно повлиять на его финансовую устойчивость, итоговая оценка может быть понижена экспертом, но не более чем на 0,5 балла по пятибалльной шкале.</w:t>
      </w:r>
    </w:p>
    <w:p w:rsidR="00BF662A" w:rsidRPr="003D53D2" w:rsidRDefault="00BF662A" w:rsidP="00C242C7">
      <w:pPr>
        <w:numPr>
          <w:ilvl w:val="2"/>
          <w:numId w:val="16"/>
        </w:numPr>
        <w:ind w:left="0" w:firstLine="0"/>
        <w:jc w:val="both"/>
      </w:pPr>
      <w:r w:rsidRPr="003D53D2">
        <w:t>Финансовые условия сделки оцениваются в разрезе следующих основных вариантов:</w:t>
      </w:r>
    </w:p>
    <w:p w:rsidR="00BF662A" w:rsidRPr="003D53D2" w:rsidRDefault="00BF662A" w:rsidP="00C242C7">
      <w:pPr>
        <w:numPr>
          <w:ilvl w:val="0"/>
          <w:numId w:val="19"/>
        </w:numPr>
        <w:ind w:left="0" w:firstLine="0"/>
        <w:jc w:val="both"/>
      </w:pPr>
      <w:r w:rsidRPr="003D53D2">
        <w:lastRenderedPageBreak/>
        <w:t>без предоплаты;</w:t>
      </w:r>
    </w:p>
    <w:p w:rsidR="00BF662A" w:rsidRPr="003D53D2" w:rsidRDefault="00BF662A" w:rsidP="00C242C7">
      <w:pPr>
        <w:numPr>
          <w:ilvl w:val="0"/>
          <w:numId w:val="19"/>
        </w:numPr>
        <w:ind w:left="0" w:firstLine="0"/>
        <w:jc w:val="both"/>
      </w:pPr>
      <w:r w:rsidRPr="003D53D2">
        <w:t>полное покрытие аванса банковской гарантией;</w:t>
      </w:r>
    </w:p>
    <w:p w:rsidR="00BF662A" w:rsidRPr="003D53D2" w:rsidRDefault="00BF662A" w:rsidP="00C242C7">
      <w:pPr>
        <w:numPr>
          <w:ilvl w:val="0"/>
          <w:numId w:val="19"/>
        </w:numPr>
        <w:ind w:left="0" w:firstLine="0"/>
        <w:jc w:val="both"/>
      </w:pPr>
      <w:r w:rsidRPr="003D53D2">
        <w:t>аванс без покрытия банковской гарантией.</w:t>
      </w:r>
    </w:p>
    <w:p w:rsidR="00BF662A" w:rsidRPr="003D53D2" w:rsidRDefault="00BF662A" w:rsidP="00C242C7">
      <w:pPr>
        <w:numPr>
          <w:ilvl w:val="3"/>
          <w:numId w:val="16"/>
        </w:numPr>
        <w:ind w:left="0" w:firstLine="0"/>
        <w:jc w:val="both"/>
      </w:pPr>
      <w:r w:rsidRPr="003D53D2">
        <w:t>К первому варианту «без предоплаты» относятся также случаи, когда договором предусмотрен ряд последовательных платежей в пользу участника закупочной процедуры, однако при этом каждый такой платеж осуществляется по факту осуществленной поставки или оказанной услуги.</w:t>
      </w:r>
    </w:p>
    <w:p w:rsidR="00BF662A" w:rsidRPr="003D53D2" w:rsidRDefault="00BF662A" w:rsidP="00C242C7">
      <w:pPr>
        <w:numPr>
          <w:ilvl w:val="3"/>
          <w:numId w:val="16"/>
        </w:numPr>
        <w:ind w:left="0" w:firstLine="0"/>
        <w:jc w:val="both"/>
      </w:pPr>
      <w:r w:rsidRPr="003D53D2">
        <w:t>Ко второму варианту «полное покрытие аванса банковской гарантией» относятся также случаи, когда договором предусмотрен ряд последовательных платежей в пользу участника закупочной процедуры, при этом каждый такой платеж, в случае если он осуществляется авансом, покрыт банковской гарантией.</w:t>
      </w:r>
    </w:p>
    <w:p w:rsidR="00BF662A" w:rsidRPr="003D53D2" w:rsidRDefault="00BF662A" w:rsidP="00C242C7">
      <w:pPr>
        <w:numPr>
          <w:ilvl w:val="3"/>
          <w:numId w:val="16"/>
        </w:numPr>
        <w:ind w:left="0" w:firstLine="0"/>
        <w:jc w:val="both"/>
      </w:pPr>
      <w:r w:rsidRPr="003D53D2">
        <w:t>Случай, когда какой-либо авансовый платеж или его часть в пользу участника закупочной процедуры планируется осуществить без покрытия банковской гарантией, такой вариант должен рассматриваться как «аванс без покрытия банковской гарантией».</w:t>
      </w:r>
    </w:p>
    <w:p w:rsidR="00BF662A" w:rsidRPr="003D53D2" w:rsidRDefault="00BF662A" w:rsidP="00C242C7">
      <w:pPr>
        <w:numPr>
          <w:ilvl w:val="1"/>
          <w:numId w:val="16"/>
        </w:numPr>
        <w:ind w:left="0" w:firstLine="0"/>
        <w:jc w:val="both"/>
      </w:pPr>
      <w:r w:rsidRPr="003D53D2">
        <w:t>Срок существования компаний-участниц закупочной процедуры определяется в шаблоне «Финэкспертиза.</w:t>
      </w:r>
      <w:r w:rsidRPr="003D53D2">
        <w:rPr>
          <w:lang w:val="en-US"/>
        </w:rPr>
        <w:t>xls</w:t>
      </w:r>
      <w:r w:rsidRPr="003D53D2">
        <w:t>» автоматически на основании заполненных граф с датой регистрации и датой подготовки заключения.</w:t>
      </w:r>
    </w:p>
    <w:p w:rsidR="00BF662A" w:rsidRPr="003D53D2" w:rsidRDefault="00BF662A" w:rsidP="00C242C7">
      <w:pPr>
        <w:jc w:val="both"/>
      </w:pPr>
      <w:r w:rsidRPr="003D53D2">
        <w:t>В шаблоне «Финэкспертиза.</w:t>
      </w:r>
      <w:r w:rsidRPr="003D53D2">
        <w:rPr>
          <w:lang w:val="en-US"/>
        </w:rPr>
        <w:t>xls</w:t>
      </w:r>
      <w:r w:rsidRPr="003D53D2">
        <w:t>» также реализовано сопоставление суммы планируемого договора и величины аванса, указанной в оферте участника закупочной процедуры, с его активами и годовой выручкой.</w:t>
      </w:r>
    </w:p>
    <w:p w:rsidR="00BF662A" w:rsidRPr="003D53D2" w:rsidRDefault="00BF662A" w:rsidP="00C242C7">
      <w:pPr>
        <w:jc w:val="both"/>
      </w:pPr>
      <w:r w:rsidRPr="003D53D2">
        <w:t>Оценка по критериям «срок существования» и «соответствие масштабов деятельности участника закупочной процедуры сумме закупки» осуществляется автоматически.</w:t>
      </w:r>
    </w:p>
    <w:p w:rsidR="00BF662A" w:rsidRPr="003D53D2" w:rsidRDefault="00BF662A" w:rsidP="00C242C7">
      <w:pPr>
        <w:numPr>
          <w:ilvl w:val="1"/>
          <w:numId w:val="16"/>
        </w:numPr>
        <w:ind w:left="0" w:firstLine="0"/>
        <w:jc w:val="both"/>
      </w:pPr>
      <w:r w:rsidRPr="003D53D2">
        <w:t>Когда в шаблон «Финэкспертиза.</w:t>
      </w:r>
      <w:r w:rsidRPr="003D53D2">
        <w:rPr>
          <w:lang w:val="en-US"/>
        </w:rPr>
        <w:t>xls</w:t>
      </w:r>
      <w:r w:rsidRPr="003D53D2">
        <w:t>» внесены:</w:t>
      </w:r>
    </w:p>
    <w:p w:rsidR="00BF662A" w:rsidRPr="003D53D2" w:rsidRDefault="00BF662A" w:rsidP="00C242C7">
      <w:pPr>
        <w:numPr>
          <w:ilvl w:val="0"/>
          <w:numId w:val="20"/>
        </w:numPr>
        <w:ind w:left="0" w:firstLine="0"/>
        <w:jc w:val="both"/>
      </w:pPr>
      <w:r w:rsidRPr="003D53D2">
        <w:t>регистрационные данные участника закупочной процедуры (название компании, ИНН, регион; дата регистрации, основной вид деятельности),</w:t>
      </w:r>
    </w:p>
    <w:p w:rsidR="00BF662A" w:rsidRPr="003D53D2" w:rsidRDefault="00BF662A" w:rsidP="00C242C7">
      <w:pPr>
        <w:numPr>
          <w:ilvl w:val="0"/>
          <w:numId w:val="20"/>
        </w:numPr>
        <w:ind w:left="0" w:firstLine="0"/>
        <w:jc w:val="both"/>
      </w:pPr>
      <w:r w:rsidRPr="003D53D2">
        <w:t>данные бухгалтерской отчетности,</w:t>
      </w:r>
    </w:p>
    <w:p w:rsidR="00BF662A" w:rsidRPr="003D53D2" w:rsidRDefault="00BF662A" w:rsidP="00C242C7">
      <w:pPr>
        <w:numPr>
          <w:ilvl w:val="0"/>
          <w:numId w:val="20"/>
        </w:numPr>
        <w:ind w:left="0" w:firstLine="0"/>
        <w:jc w:val="both"/>
      </w:pPr>
      <w:r w:rsidRPr="003D53D2">
        <w:t>проставлены галочки в соответствующих полях формы для условий оплаты,</w:t>
      </w:r>
    </w:p>
    <w:p w:rsidR="00BF662A" w:rsidRPr="003D53D2" w:rsidRDefault="00BF662A" w:rsidP="00C242C7">
      <w:pPr>
        <w:numPr>
          <w:ilvl w:val="0"/>
          <w:numId w:val="20"/>
        </w:numPr>
        <w:ind w:left="0" w:firstLine="0"/>
        <w:jc w:val="both"/>
      </w:pPr>
      <w:r w:rsidRPr="003D53D2">
        <w:t>занесена сумма задолженности по начисленным налогам, сборам и иным обязательным платежам в тыс. руб.,</w:t>
      </w:r>
    </w:p>
    <w:p w:rsidR="00BF662A" w:rsidRPr="003D53D2" w:rsidRDefault="00BF662A" w:rsidP="00C242C7">
      <w:pPr>
        <w:numPr>
          <w:ilvl w:val="0"/>
          <w:numId w:val="20"/>
        </w:numPr>
        <w:ind w:left="0" w:firstLine="0"/>
        <w:jc w:val="both"/>
      </w:pPr>
      <w:r w:rsidRPr="003D53D2">
        <w:t>указана сумма планируемого договора,</w:t>
      </w:r>
    </w:p>
    <w:p w:rsidR="00BF662A" w:rsidRPr="003D53D2" w:rsidRDefault="00BF662A" w:rsidP="00C242C7">
      <w:pPr>
        <w:jc w:val="both"/>
      </w:pPr>
      <w:r w:rsidRPr="003D53D2">
        <w:t>осуществляется автоматическая оценка участников закупочной процедуры на основе балльно-весового подхода, параметры которого (баллы и веса) определены Методикой.</w:t>
      </w:r>
    </w:p>
    <w:p w:rsidR="00BF662A" w:rsidRPr="003D53D2" w:rsidRDefault="00BF662A" w:rsidP="00C242C7">
      <w:pPr>
        <w:numPr>
          <w:ilvl w:val="0"/>
          <w:numId w:val="16"/>
        </w:numPr>
        <w:ind w:left="0" w:firstLine="0"/>
        <w:jc w:val="both"/>
        <w:rPr>
          <w:b/>
        </w:rPr>
      </w:pPr>
      <w:r w:rsidRPr="003D53D2">
        <w:rPr>
          <w:b/>
        </w:rPr>
        <w:t>Формирование окончательного решения</w:t>
      </w:r>
    </w:p>
    <w:p w:rsidR="00BF662A" w:rsidRPr="003D53D2" w:rsidRDefault="00BF662A" w:rsidP="00C242C7">
      <w:pPr>
        <w:numPr>
          <w:ilvl w:val="1"/>
          <w:numId w:val="16"/>
        </w:numPr>
        <w:ind w:left="0" w:firstLine="0"/>
        <w:jc w:val="both"/>
      </w:pPr>
      <w:r w:rsidRPr="003D53D2">
        <w:t>На отборочной стадии Эксперт, используя результаты совместного применения балльно-весового подхода и системы стоп и риск-факторов, согласно алгоритму, описанному в Методике, принимает решение о соответствии / несоответствии участников закупочной процедуры требованиям закупочной документации и настоящей Методики с точки зрения финансово-экономических критериев. В случае если на основании применения балльно-весового подхода и системы стоп и риск-факторов автоматически сформировалась оценка «не соответствует» или возникла пограничная ситуация, однако если при этом, по мнению Эксперта, имеются достаточные основания для повышения оценки до «соответствует» и допуска участника до оценочной стадии, Эксперт должен внести необходимые корректировки с обоснованием своей позиции в экспертном заключении. Итоговая оценка на оценочной стадии за исключением случаев, описанных в п. 3.7., при этом не должна превышать 1 по пятибалльной шкале (минимально допустимый уровень).</w:t>
      </w:r>
    </w:p>
    <w:p w:rsidR="00BF662A" w:rsidRPr="003D53D2" w:rsidRDefault="00BF662A" w:rsidP="00C242C7">
      <w:pPr>
        <w:numPr>
          <w:ilvl w:val="1"/>
          <w:numId w:val="16"/>
        </w:numPr>
        <w:ind w:left="0" w:firstLine="0"/>
        <w:jc w:val="both"/>
      </w:pPr>
      <w:r w:rsidRPr="003D53D2">
        <w:t>На оценочной стадии финансово-экономической экспертизы предложения участников закупочной процедуры, прошедших отборочную стадию, ранжируются между собой. В основе количественной меры для сравнения предложений участников в рамках финансово-</w:t>
      </w:r>
      <w:r w:rsidRPr="003D53D2">
        <w:lastRenderedPageBreak/>
        <w:t>экономической экспертизы, также используется первичный балл от 0 до 1, полученный в результате применения балльно-весового подхода. Все компании, набравшие более 0,45 баллов по шкале от 0 до 1 (по которым принято положительное решение на отборочной стадии) ранжируются с присвоением оценки по пятибалльной шкале от 0 до 5. Порядок перевода шкалы от 0 до 1 в шкалу от 0 до 5 установлен Методикой.</w:t>
      </w:r>
    </w:p>
    <w:p w:rsidR="00BF662A" w:rsidRPr="003D53D2" w:rsidRDefault="00BF662A" w:rsidP="00C242C7">
      <w:pPr>
        <w:numPr>
          <w:ilvl w:val="1"/>
          <w:numId w:val="16"/>
        </w:numPr>
        <w:ind w:left="0" w:firstLine="0"/>
        <w:jc w:val="both"/>
      </w:pPr>
      <w:r w:rsidRPr="003D53D2">
        <w:t>За Экспертом на оценочной стадии закрепляется право в отдельных случаях (см. таблицу Алгоритм принятия решения) повышать или понижать, если иное специально не оговорено в Методике, не более чем на 1 балл по пятибалльной шкале оценку, полученную автоматически.</w:t>
      </w:r>
    </w:p>
    <w:p w:rsidR="00BF662A" w:rsidRPr="003D53D2" w:rsidRDefault="00BF662A" w:rsidP="00C242C7">
      <w:pPr>
        <w:numPr>
          <w:ilvl w:val="1"/>
          <w:numId w:val="16"/>
        </w:numPr>
        <w:ind w:left="0" w:firstLine="0"/>
        <w:jc w:val="both"/>
      </w:pPr>
      <w:r w:rsidRPr="003D53D2">
        <w:t>С целью расширения доступа субъектов малого и среднего предпринимательства к участию в конкурентных закупочных процедура</w:t>
      </w:r>
      <w:r w:rsidR="00454A99">
        <w:t>х, организованных Обществом</w:t>
      </w:r>
      <w:r w:rsidRPr="003D53D2">
        <w:t>, когда для оказания услуги и/или осуществления поставки от участников закупочной процедуры не требуется наличие значительных финансовых и материально-технических ресурсов, допускается экспертно повышать оценку – а именно, для компаний субъектов малого и среднего предпринимательства, получивших оценку «не соответствует» или 0 (ноль) баллов по причине несоответствия масштабов деятельности участника плановой стоимости закупки, разрешается экспертно повышать оценку до «соответствует», и допускать таких участников до оценочной стадии, итоговая оценка при этом не должна превышать 1 по пятибалльной шкале (минимально допустимый уровень). К таким случаям могут относиться конкурентные закупочные процедуры по перечисленным ниж</w:t>
      </w:r>
      <w:r w:rsidR="00454A99">
        <w:t>е статьям расходов Общества,</w:t>
      </w:r>
      <w:r w:rsidRPr="003D53D2">
        <w:t xml:space="preserve"> плановая стоимость закупки по которым не превышает </w:t>
      </w:r>
      <w:r w:rsidRPr="005F722C">
        <w:t>30</w:t>
      </w:r>
      <w:r w:rsidRPr="003D53D2">
        <w:t xml:space="preserve"> млн. рублей без НДС:</w:t>
      </w:r>
    </w:p>
    <w:p w:rsidR="00BF662A" w:rsidRPr="003D53D2" w:rsidRDefault="00BF662A" w:rsidP="00C242C7">
      <w:pPr>
        <w:numPr>
          <w:ilvl w:val="3"/>
          <w:numId w:val="23"/>
        </w:numPr>
        <w:ind w:left="0" w:firstLine="0"/>
        <w:jc w:val="both"/>
      </w:pPr>
      <w:r w:rsidRPr="003D53D2">
        <w:t>административно-хозяйственные расходы (поставки и услуги);</w:t>
      </w:r>
    </w:p>
    <w:p w:rsidR="00BF662A" w:rsidRPr="003D53D2" w:rsidRDefault="00BF662A" w:rsidP="00C242C7">
      <w:pPr>
        <w:numPr>
          <w:ilvl w:val="3"/>
          <w:numId w:val="23"/>
        </w:numPr>
        <w:ind w:left="0" w:firstLine="0"/>
        <w:jc w:val="both"/>
      </w:pPr>
      <w:r w:rsidRPr="003D53D2">
        <w:t>охрана (услуги);</w:t>
      </w:r>
    </w:p>
    <w:p w:rsidR="00BF662A" w:rsidRPr="003D53D2" w:rsidRDefault="00BF662A" w:rsidP="00C242C7">
      <w:pPr>
        <w:numPr>
          <w:ilvl w:val="3"/>
          <w:numId w:val="23"/>
        </w:numPr>
        <w:ind w:left="0" w:firstLine="0"/>
        <w:jc w:val="both"/>
      </w:pPr>
      <w:r w:rsidRPr="003D53D2">
        <w:t>консультационные и информационные расходы (поставки и услуги);</w:t>
      </w:r>
    </w:p>
    <w:p w:rsidR="00BF662A" w:rsidRPr="003D53D2" w:rsidRDefault="00BF662A" w:rsidP="00C242C7">
      <w:pPr>
        <w:numPr>
          <w:ilvl w:val="3"/>
          <w:numId w:val="23"/>
        </w:numPr>
        <w:ind w:left="0" w:firstLine="0"/>
        <w:jc w:val="both"/>
      </w:pPr>
      <w:r w:rsidRPr="003D53D2">
        <w:t>аудит и оценка (поставки и услуги);</w:t>
      </w:r>
    </w:p>
    <w:p w:rsidR="00BF662A" w:rsidRPr="003D53D2" w:rsidRDefault="00BF662A" w:rsidP="00C242C7">
      <w:pPr>
        <w:numPr>
          <w:ilvl w:val="3"/>
          <w:numId w:val="23"/>
        </w:numPr>
        <w:ind w:left="0" w:firstLine="0"/>
        <w:jc w:val="both"/>
      </w:pPr>
      <w:r w:rsidRPr="003D53D2">
        <w:t>юридические услуги (поставки и услуги);</w:t>
      </w:r>
    </w:p>
    <w:p w:rsidR="00BF662A" w:rsidRPr="003D53D2" w:rsidRDefault="00BF662A" w:rsidP="00C242C7">
      <w:pPr>
        <w:numPr>
          <w:ilvl w:val="3"/>
          <w:numId w:val="23"/>
        </w:numPr>
        <w:ind w:left="0" w:firstLine="0"/>
        <w:jc w:val="both"/>
      </w:pPr>
      <w:r w:rsidRPr="003D53D2">
        <w:t>корпоративное управление (поставки и услуги);</w:t>
      </w:r>
    </w:p>
    <w:p w:rsidR="00BF662A" w:rsidRPr="003D53D2" w:rsidRDefault="00BF662A" w:rsidP="00C242C7">
      <w:pPr>
        <w:numPr>
          <w:ilvl w:val="3"/>
          <w:numId w:val="23"/>
        </w:numPr>
        <w:ind w:left="0" w:firstLine="0"/>
        <w:jc w:val="both"/>
      </w:pPr>
      <w:r w:rsidRPr="003D53D2">
        <w:t>расходы на персонал (поставки и услуги);</w:t>
      </w:r>
    </w:p>
    <w:p w:rsidR="00BF662A" w:rsidRPr="003D53D2" w:rsidRDefault="00BF662A" w:rsidP="00C242C7">
      <w:pPr>
        <w:numPr>
          <w:ilvl w:val="3"/>
          <w:numId w:val="23"/>
        </w:numPr>
        <w:ind w:left="0" w:firstLine="0"/>
        <w:jc w:val="both"/>
      </w:pPr>
      <w:r w:rsidRPr="003D53D2">
        <w:t>реклама и маркетинг (поставки и услуги).</w:t>
      </w:r>
    </w:p>
    <w:p w:rsidR="00BF662A" w:rsidRPr="003D53D2" w:rsidRDefault="00BF662A" w:rsidP="00C242C7">
      <w:pPr>
        <w:numPr>
          <w:ilvl w:val="1"/>
          <w:numId w:val="16"/>
        </w:numPr>
        <w:ind w:left="0" w:firstLine="0"/>
        <w:jc w:val="both"/>
      </w:pPr>
      <w:r w:rsidRPr="003D53D2">
        <w:t>По результатам проведенной финансово-экономической экспертизы Эксперт по каждому участнику закупочной процедуры готовит при необходимости, обусловленной требованиями закупочной документации, экспертное заключение с указанием наиболее значимых факторов, повлиявших на итоговую оценку.</w:t>
      </w:r>
    </w:p>
    <w:p w:rsidR="00BF662A" w:rsidRPr="003D53D2" w:rsidRDefault="00BF662A" w:rsidP="00C242C7">
      <w:pPr>
        <w:numPr>
          <w:ilvl w:val="1"/>
          <w:numId w:val="16"/>
        </w:numPr>
        <w:ind w:left="0" w:firstLine="0"/>
        <w:jc w:val="both"/>
      </w:pPr>
      <w:r w:rsidRPr="003D53D2">
        <w:t xml:space="preserve">В случае </w:t>
      </w:r>
      <w:r w:rsidRPr="003D53D2">
        <w:rPr>
          <w:b/>
        </w:rPr>
        <w:t>если решение, принятое Экспертом в рамках финансово-экономической экспертизы, отличается от принятого автоматически</w:t>
      </w:r>
      <w:r w:rsidRPr="003D53D2">
        <w:t xml:space="preserve"> в рамках балльно-весового подхода, определенного настоящей Методикой, то </w:t>
      </w:r>
      <w:r w:rsidRPr="003D53D2">
        <w:rPr>
          <w:b/>
        </w:rPr>
        <w:t>формирование Экспертом письменного заключения</w:t>
      </w:r>
      <w:r w:rsidRPr="003D53D2">
        <w:t xml:space="preserve"> с указанием факторов, повлиявших на итоговую оценку, </w:t>
      </w:r>
      <w:r w:rsidRPr="003D53D2">
        <w:rPr>
          <w:b/>
        </w:rPr>
        <w:t>является обязательным</w:t>
      </w:r>
      <w:r w:rsidRPr="003D53D2">
        <w:t>.</w:t>
      </w:r>
    </w:p>
    <w:p w:rsidR="00BF662A" w:rsidRPr="003D53D2" w:rsidRDefault="00BF662A" w:rsidP="00C242C7">
      <w:pPr>
        <w:numPr>
          <w:ilvl w:val="1"/>
          <w:numId w:val="16"/>
        </w:numPr>
        <w:ind w:left="0" w:firstLine="0"/>
        <w:jc w:val="both"/>
      </w:pPr>
      <w:r w:rsidRPr="003D53D2">
        <w:t>В случае если компания, являющаяся участником конкурентной закупочной процедуры, входит в группу компаний, о которой достоверно известно, что данная группа обладает достаточной финансовой устойчивостью (что подтверждено международным кредитным рейтингом на уровне или выше BB- по шкале Fitch/S&amp;P или Ba3 по шкале Moody’s) допускается экспертно повышать</w:t>
      </w:r>
      <w:r w:rsidRPr="003D53D2">
        <w:rPr>
          <w:b/>
        </w:rPr>
        <w:t xml:space="preserve"> итоговую оценку участника закупочной процедуры более чем на 1 балл</w:t>
      </w:r>
      <w:r w:rsidRPr="003D53D2">
        <w:t xml:space="preserve"> по пятибалльной шкале. Итоговая оценка в случае применения такой корректировки не должна превышать трех баллов по пятибалльной шкале. Принадлежность участника к указанной группе подтверждается предоставлением консолидированной финансовой отчетности по МСФО за последний завершенный финансовый год;</w:t>
      </w:r>
    </w:p>
    <w:p w:rsidR="00BF662A" w:rsidRPr="003D53D2" w:rsidRDefault="00BF662A" w:rsidP="00C242C7">
      <w:pPr>
        <w:numPr>
          <w:ilvl w:val="1"/>
          <w:numId w:val="16"/>
        </w:numPr>
        <w:ind w:left="0" w:firstLine="0"/>
        <w:jc w:val="both"/>
      </w:pPr>
      <w:r w:rsidRPr="003D53D2">
        <w:t xml:space="preserve">Когда в качестве участника закупочной процедуры выступает консорциум, состоящий из двух или более различных компаний, либо при оказании услуг / осуществлении поставки планируется привлечение субподрядчика или нескольких субподрядчиков, итоговая оценка в </w:t>
      </w:r>
      <w:r w:rsidRPr="003D53D2">
        <w:lastRenderedPageBreak/>
        <w:t>рамках финансово-экономической экспертизы формируется как сумма оценок всех участников консорциума или основного участника и его субподрядчиков, взвешенная по планируемой доле их участия в соответствии с предоставленным планом распределения работ;</w:t>
      </w:r>
    </w:p>
    <w:p w:rsidR="00BF662A" w:rsidRPr="003D53D2" w:rsidRDefault="00BF662A" w:rsidP="00C242C7">
      <w:pPr>
        <w:numPr>
          <w:ilvl w:val="1"/>
          <w:numId w:val="16"/>
        </w:numPr>
        <w:ind w:left="0" w:firstLine="0"/>
        <w:jc w:val="both"/>
      </w:pPr>
      <w:r w:rsidRPr="003D53D2">
        <w:t>В случаях, когда невозможно провести оценку участников в соответствии с набором критериев, сформулированных в Методике, по причине особенной формы составления бухгалтерской отчетности оцениваемых компаний (примерами таких случаев являются отдельные группы юридических лиц, являющихся коммерческими организациями (банки, страховые компании, другие финансовые организации и т.д.); юридические лица, являющиеся некоммерческими организациями и др.) эксперт вправе изменить набор и степень значимости финансово-экономических критериев с отражением внесенных изменений в экспертном заключении.</w:t>
      </w:r>
    </w:p>
    <w:p w:rsidR="00BF662A" w:rsidRPr="003D53D2" w:rsidRDefault="00BF662A" w:rsidP="00C242C7">
      <w:pPr>
        <w:jc w:val="right"/>
      </w:pPr>
      <w:r w:rsidRPr="003D53D2">
        <w:t>Таблица Алгоритм принятия решения</w:t>
      </w:r>
    </w:p>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224"/>
      </w:tblGrid>
      <w:tr w:rsidR="00BF662A" w:rsidRPr="00AF7DDD" w:rsidTr="00C242C7">
        <w:trPr>
          <w:trHeight w:val="503"/>
        </w:trPr>
        <w:tc>
          <w:tcPr>
            <w:tcW w:w="3687" w:type="dxa"/>
            <w:shd w:val="clear" w:color="auto" w:fill="auto"/>
            <w:vAlign w:val="center"/>
          </w:tcPr>
          <w:p w:rsidR="00BF662A" w:rsidRPr="00AF7DDD" w:rsidRDefault="00BF662A" w:rsidP="00C242C7">
            <w:pPr>
              <w:jc w:val="center"/>
              <w:rPr>
                <w:b/>
                <w:color w:val="000000"/>
                <w:sz w:val="22"/>
                <w:szCs w:val="22"/>
              </w:rPr>
            </w:pPr>
            <w:r w:rsidRPr="00AF7DDD">
              <w:rPr>
                <w:b/>
                <w:color w:val="000000"/>
                <w:sz w:val="22"/>
                <w:szCs w:val="22"/>
              </w:rPr>
              <w:t>Варианты автоматического решения</w:t>
            </w:r>
          </w:p>
        </w:tc>
        <w:tc>
          <w:tcPr>
            <w:tcW w:w="6224" w:type="dxa"/>
            <w:shd w:val="clear" w:color="auto" w:fill="auto"/>
            <w:vAlign w:val="center"/>
          </w:tcPr>
          <w:p w:rsidR="00BF662A" w:rsidRPr="00AF7DDD" w:rsidRDefault="00BF662A" w:rsidP="00C242C7">
            <w:pPr>
              <w:jc w:val="center"/>
              <w:rPr>
                <w:b/>
                <w:color w:val="000000"/>
                <w:sz w:val="22"/>
                <w:szCs w:val="22"/>
              </w:rPr>
            </w:pPr>
            <w:r w:rsidRPr="00AF7DDD">
              <w:rPr>
                <w:b/>
                <w:color w:val="000000"/>
                <w:sz w:val="22"/>
                <w:szCs w:val="22"/>
              </w:rPr>
              <w:t>Описание и действия Эксперта</w:t>
            </w:r>
          </w:p>
        </w:tc>
      </w:tr>
      <w:tr w:rsidR="00BF662A" w:rsidRPr="00AF7DDD" w:rsidTr="00C242C7">
        <w:trPr>
          <w:trHeight w:val="445"/>
        </w:trPr>
        <w:tc>
          <w:tcPr>
            <w:tcW w:w="3687" w:type="dxa"/>
            <w:shd w:val="clear" w:color="auto" w:fill="auto"/>
            <w:vAlign w:val="center"/>
          </w:tcPr>
          <w:p w:rsidR="00BF662A" w:rsidRPr="00AF7DDD" w:rsidRDefault="00BF662A" w:rsidP="00C242C7">
            <w:pPr>
              <w:rPr>
                <w:i/>
                <w:color w:val="000000"/>
                <w:sz w:val="22"/>
                <w:szCs w:val="22"/>
              </w:rPr>
            </w:pPr>
            <w:r w:rsidRPr="00AF7DDD">
              <w:rPr>
                <w:i/>
                <w:color w:val="000000"/>
                <w:sz w:val="22"/>
                <w:szCs w:val="22"/>
              </w:rPr>
              <w:t>Занести данные отчетности</w:t>
            </w:r>
          </w:p>
        </w:tc>
        <w:tc>
          <w:tcPr>
            <w:tcW w:w="6224" w:type="dxa"/>
            <w:shd w:val="clear" w:color="auto" w:fill="auto"/>
          </w:tcPr>
          <w:p w:rsidR="00BF662A" w:rsidRPr="00AF7DDD" w:rsidRDefault="00BF662A" w:rsidP="00C242C7">
            <w:pPr>
              <w:jc w:val="both"/>
              <w:rPr>
                <w:color w:val="000000"/>
                <w:sz w:val="22"/>
                <w:szCs w:val="22"/>
              </w:rPr>
            </w:pPr>
            <w:r w:rsidRPr="00AF7DDD">
              <w:rPr>
                <w:color w:val="000000"/>
                <w:sz w:val="22"/>
                <w:szCs w:val="22"/>
              </w:rPr>
              <w:t>Надпись возникает, когда не занесены данные бухгалтерской отчетности</w:t>
            </w:r>
          </w:p>
        </w:tc>
      </w:tr>
      <w:tr w:rsidR="00BF662A" w:rsidRPr="00AF7DDD" w:rsidTr="00C242C7">
        <w:trPr>
          <w:trHeight w:val="885"/>
        </w:trPr>
        <w:tc>
          <w:tcPr>
            <w:tcW w:w="3687" w:type="dxa"/>
            <w:shd w:val="clear" w:color="auto" w:fill="auto"/>
            <w:vAlign w:val="center"/>
          </w:tcPr>
          <w:p w:rsidR="00BF662A" w:rsidRPr="00AF7DDD" w:rsidRDefault="00BF662A" w:rsidP="00C242C7">
            <w:pPr>
              <w:rPr>
                <w:i/>
                <w:color w:val="000000"/>
                <w:sz w:val="22"/>
                <w:szCs w:val="22"/>
              </w:rPr>
            </w:pPr>
            <w:r w:rsidRPr="00AF7DDD">
              <w:rPr>
                <w:i/>
                <w:color w:val="000000"/>
                <w:sz w:val="22"/>
                <w:szCs w:val="22"/>
              </w:rPr>
              <w:t>Автоматическое принятие решения</w:t>
            </w:r>
          </w:p>
        </w:tc>
        <w:tc>
          <w:tcPr>
            <w:tcW w:w="6224" w:type="dxa"/>
            <w:shd w:val="clear" w:color="auto" w:fill="auto"/>
          </w:tcPr>
          <w:p w:rsidR="00BF662A" w:rsidRPr="00AF7DDD" w:rsidRDefault="00BF662A" w:rsidP="00C242C7">
            <w:pPr>
              <w:jc w:val="both"/>
              <w:rPr>
                <w:color w:val="000000"/>
                <w:sz w:val="22"/>
                <w:szCs w:val="22"/>
              </w:rPr>
            </w:pPr>
            <w:r w:rsidRPr="00AF7DDD">
              <w:rPr>
                <w:color w:val="000000"/>
                <w:sz w:val="22"/>
                <w:szCs w:val="22"/>
              </w:rPr>
              <w:t>Надпись возникает, когда данные бухгалтерской отчетности занесены в соответствующие ячейки шаблона (файл Excel), однако остальные обязательные для заполнения ячейки пусты (отсутствуют регистрационные данные, не указана сумма планируемого договора или не заполнено поле с суммой задолженности по начисленным налогам, сборам и иным обязательным платежам). Надпись также может возникнуть в случае, если не полностью или не верно проставлены галочки в полях, предусмотренных для качественной оценки бизнес-рисков</w:t>
            </w:r>
          </w:p>
        </w:tc>
      </w:tr>
      <w:tr w:rsidR="00BF662A" w:rsidRPr="00AF7DDD" w:rsidTr="00C242C7">
        <w:trPr>
          <w:trHeight w:val="870"/>
        </w:trPr>
        <w:tc>
          <w:tcPr>
            <w:tcW w:w="3687" w:type="dxa"/>
            <w:shd w:val="clear" w:color="000000" w:fill="FFE5E5"/>
            <w:vAlign w:val="center"/>
          </w:tcPr>
          <w:p w:rsidR="00BF662A" w:rsidRPr="00AF7DDD" w:rsidRDefault="00BF662A" w:rsidP="00C242C7">
            <w:pPr>
              <w:rPr>
                <w:i/>
                <w:color w:val="000000"/>
                <w:sz w:val="22"/>
                <w:szCs w:val="22"/>
              </w:rPr>
            </w:pPr>
            <w:r w:rsidRPr="00AF7DDD">
              <w:rPr>
                <w:i/>
                <w:color w:val="000000"/>
                <w:sz w:val="22"/>
                <w:szCs w:val="22"/>
              </w:rPr>
              <w:t>Не соответствует (0)</w:t>
            </w:r>
          </w:p>
        </w:tc>
        <w:tc>
          <w:tcPr>
            <w:tcW w:w="6224" w:type="dxa"/>
            <w:shd w:val="clear" w:color="000000" w:fill="FFE5E5"/>
          </w:tcPr>
          <w:p w:rsidR="00BF662A" w:rsidRPr="00AF7DDD" w:rsidRDefault="00BF662A" w:rsidP="00C242C7">
            <w:pPr>
              <w:jc w:val="both"/>
              <w:rPr>
                <w:color w:val="000000"/>
                <w:sz w:val="22"/>
                <w:szCs w:val="22"/>
              </w:rPr>
            </w:pPr>
            <w:r w:rsidRPr="00AF7DDD">
              <w:rPr>
                <w:color w:val="000000"/>
                <w:sz w:val="22"/>
                <w:szCs w:val="22"/>
              </w:rPr>
              <w:t>Такое автоматическое решение возникает в ситуации, когда компания-участница закупочной процедуры, будучи оценена согласно балльно-весового подхода, набирает менее 0,45 баллов по шкале от 0 до 1.</w:t>
            </w:r>
          </w:p>
          <w:p w:rsidR="00BF662A" w:rsidRPr="00AF7DDD" w:rsidRDefault="00BF662A" w:rsidP="00C242C7">
            <w:pPr>
              <w:jc w:val="both"/>
              <w:rPr>
                <w:i/>
                <w:color w:val="000000"/>
                <w:sz w:val="22"/>
                <w:szCs w:val="22"/>
              </w:rPr>
            </w:pPr>
            <w:r w:rsidRPr="00AF7DDD">
              <w:rPr>
                <w:b/>
                <w:i/>
                <w:color w:val="000000"/>
                <w:sz w:val="22"/>
                <w:szCs w:val="22"/>
              </w:rPr>
              <w:t xml:space="preserve">Действия Эксперта: </w:t>
            </w:r>
            <w:r w:rsidRPr="00AF7DDD">
              <w:rPr>
                <w:i/>
                <w:color w:val="000000"/>
                <w:sz w:val="22"/>
                <w:szCs w:val="22"/>
              </w:rPr>
              <w:t>Эксперт либо подтверждает автоматически выставленную оценку о несоответствии с присвоением участнику закупочной процедуры оценки 0 по пятибалльной шкале, либо, в случае если имеется достаточное основание, предоставив необходимое обоснование, повышает оценку до «Соответствует», при этом оценка по пятибалльной шкале, если иное специально не оговорено в Методике, на оценочной стадии не должна превышать 1 (минимально допустимый уровень)</w:t>
            </w:r>
          </w:p>
        </w:tc>
      </w:tr>
      <w:tr w:rsidR="00BF662A" w:rsidRPr="00AF7DDD" w:rsidTr="00C242C7">
        <w:trPr>
          <w:trHeight w:val="850"/>
        </w:trPr>
        <w:tc>
          <w:tcPr>
            <w:tcW w:w="3687" w:type="dxa"/>
            <w:shd w:val="clear" w:color="000000" w:fill="FFE5E5"/>
            <w:vAlign w:val="center"/>
          </w:tcPr>
          <w:p w:rsidR="00BF662A" w:rsidRPr="00AF7DDD" w:rsidRDefault="00BF662A" w:rsidP="00C242C7">
            <w:pPr>
              <w:rPr>
                <w:i/>
                <w:color w:val="000000"/>
                <w:sz w:val="22"/>
                <w:szCs w:val="22"/>
              </w:rPr>
            </w:pPr>
            <w:r w:rsidRPr="00AF7DDD">
              <w:rPr>
                <w:i/>
                <w:color w:val="000000"/>
                <w:sz w:val="22"/>
                <w:szCs w:val="22"/>
              </w:rPr>
              <w:t>Не соответствует (0) имеются стоп-факторы</w:t>
            </w:r>
          </w:p>
        </w:tc>
        <w:tc>
          <w:tcPr>
            <w:tcW w:w="6224" w:type="dxa"/>
            <w:shd w:val="clear" w:color="000000" w:fill="FFE5E5"/>
          </w:tcPr>
          <w:p w:rsidR="00BF662A" w:rsidRPr="00AF7DDD" w:rsidRDefault="00BF662A" w:rsidP="00C242C7">
            <w:pPr>
              <w:jc w:val="both"/>
              <w:rPr>
                <w:color w:val="000000"/>
                <w:sz w:val="22"/>
                <w:szCs w:val="22"/>
              </w:rPr>
            </w:pPr>
            <w:r w:rsidRPr="00AF7DDD">
              <w:rPr>
                <w:color w:val="000000"/>
                <w:sz w:val="22"/>
                <w:szCs w:val="22"/>
              </w:rPr>
              <w:t>Надпись возникает, когда независимо от набранного количества баллов по шкале от 0 до 1 для оцениваемой компании реализуется хотя бы один из стоп-факторов</w:t>
            </w:r>
          </w:p>
          <w:p w:rsidR="00BF662A" w:rsidRPr="00AF7DDD" w:rsidRDefault="00BF662A" w:rsidP="00C242C7">
            <w:pPr>
              <w:jc w:val="both"/>
              <w:rPr>
                <w:color w:val="000000"/>
                <w:sz w:val="22"/>
                <w:szCs w:val="22"/>
              </w:rPr>
            </w:pPr>
            <w:r w:rsidRPr="00AF7DDD">
              <w:rPr>
                <w:b/>
                <w:i/>
                <w:color w:val="000000"/>
                <w:sz w:val="22"/>
                <w:szCs w:val="22"/>
              </w:rPr>
              <w:t xml:space="preserve">Действия Эксперта: </w:t>
            </w:r>
            <w:r w:rsidRPr="00AF7DDD">
              <w:rPr>
                <w:i/>
                <w:color w:val="000000"/>
                <w:sz w:val="22"/>
                <w:szCs w:val="22"/>
              </w:rPr>
              <w:t>Эксперт либо подтверждает автоматически выставленную оценку о несоответствии с присвоением участнику закупочной процедуры оценки 0 по пятибалльной шкале, либо, в случае если имеется достаточное основание, предоставив необходимое обоснование, повышает оценку до «Соответствует», при этом оценка по пятибалльной шкале, если иное специально не оговорено в Методике, на оценочной стадии не должна превышать 1 (минимально допустимый уровень)</w:t>
            </w:r>
          </w:p>
        </w:tc>
      </w:tr>
      <w:tr w:rsidR="00BF662A" w:rsidRPr="00AF7DDD" w:rsidTr="00C242C7">
        <w:trPr>
          <w:trHeight w:val="765"/>
        </w:trPr>
        <w:tc>
          <w:tcPr>
            <w:tcW w:w="3687" w:type="dxa"/>
            <w:shd w:val="clear" w:color="000000" w:fill="F8FFB9"/>
            <w:vAlign w:val="center"/>
          </w:tcPr>
          <w:p w:rsidR="00BF662A" w:rsidRPr="00AF7DDD" w:rsidRDefault="00BF662A" w:rsidP="00C242C7">
            <w:pPr>
              <w:rPr>
                <w:i/>
                <w:color w:val="000000"/>
                <w:sz w:val="22"/>
                <w:szCs w:val="22"/>
              </w:rPr>
            </w:pPr>
            <w:r w:rsidRPr="00AF7DDD">
              <w:rPr>
                <w:i/>
                <w:color w:val="000000"/>
                <w:sz w:val="22"/>
                <w:szCs w:val="22"/>
              </w:rPr>
              <w:lastRenderedPageBreak/>
              <w:t>Необходимо участие эксперта (0)</w:t>
            </w:r>
          </w:p>
          <w:p w:rsidR="00BF662A" w:rsidRPr="00AF7DDD" w:rsidRDefault="00BF662A" w:rsidP="00C242C7">
            <w:pPr>
              <w:rPr>
                <w:i/>
                <w:color w:val="000000"/>
                <w:sz w:val="22"/>
                <w:szCs w:val="22"/>
              </w:rPr>
            </w:pPr>
          </w:p>
          <w:p w:rsidR="00BF662A" w:rsidRPr="00AF7DDD" w:rsidRDefault="00BF662A" w:rsidP="00C242C7">
            <w:pPr>
              <w:rPr>
                <w:i/>
                <w:color w:val="000000"/>
                <w:sz w:val="22"/>
                <w:szCs w:val="22"/>
              </w:rPr>
            </w:pPr>
            <w:r w:rsidRPr="00AF7DDD">
              <w:rPr>
                <w:i/>
                <w:color w:val="000000"/>
                <w:sz w:val="22"/>
                <w:szCs w:val="22"/>
              </w:rPr>
              <w:t>Необходимо участие эксперта (0) имеются риск-факторы</w:t>
            </w:r>
          </w:p>
        </w:tc>
        <w:tc>
          <w:tcPr>
            <w:tcW w:w="6224" w:type="dxa"/>
            <w:shd w:val="clear" w:color="000000" w:fill="F8FFB9"/>
          </w:tcPr>
          <w:p w:rsidR="00BF662A" w:rsidRPr="00AF7DDD" w:rsidRDefault="00BF662A" w:rsidP="00C242C7">
            <w:pPr>
              <w:jc w:val="both"/>
              <w:rPr>
                <w:color w:val="000000"/>
                <w:sz w:val="22"/>
                <w:szCs w:val="22"/>
              </w:rPr>
            </w:pPr>
            <w:r w:rsidRPr="00AF7DDD">
              <w:rPr>
                <w:color w:val="000000"/>
                <w:sz w:val="22"/>
                <w:szCs w:val="22"/>
              </w:rPr>
              <w:t>Такое автоматическое решение соответствует ситуации, когда компания-участница закупочной процедуры набирает от 0,45 до 0,5 баллов по шкале от 0 до 1 (пограничная ситуация). При этом имеется не более двух риск-факторов.</w:t>
            </w:r>
          </w:p>
          <w:p w:rsidR="00BF662A" w:rsidRPr="00AF7DDD" w:rsidRDefault="00BF662A" w:rsidP="00C242C7">
            <w:pPr>
              <w:jc w:val="both"/>
              <w:rPr>
                <w:i/>
                <w:color w:val="000000"/>
                <w:sz w:val="22"/>
                <w:szCs w:val="22"/>
              </w:rPr>
            </w:pPr>
            <w:r w:rsidRPr="00AF7DDD">
              <w:rPr>
                <w:b/>
                <w:i/>
                <w:color w:val="000000"/>
                <w:sz w:val="22"/>
                <w:szCs w:val="22"/>
              </w:rPr>
              <w:t xml:space="preserve">Действия Эксперта: </w:t>
            </w:r>
            <w:r w:rsidRPr="00AF7DDD">
              <w:rPr>
                <w:i/>
                <w:color w:val="000000"/>
                <w:sz w:val="22"/>
                <w:szCs w:val="22"/>
              </w:rPr>
              <w:t>на отборочной стадии</w:t>
            </w:r>
            <w:r w:rsidRPr="00AF7DDD">
              <w:rPr>
                <w:b/>
                <w:i/>
                <w:color w:val="000000"/>
                <w:sz w:val="22"/>
                <w:szCs w:val="22"/>
              </w:rPr>
              <w:t xml:space="preserve"> </w:t>
            </w:r>
            <w:r w:rsidRPr="00AF7DDD">
              <w:rPr>
                <w:i/>
                <w:color w:val="000000"/>
                <w:sz w:val="22"/>
                <w:szCs w:val="22"/>
              </w:rPr>
              <w:t>в пограничной ситуации</w:t>
            </w:r>
            <w:r w:rsidRPr="00AF7DDD">
              <w:rPr>
                <w:b/>
                <w:i/>
                <w:color w:val="000000"/>
                <w:sz w:val="22"/>
                <w:szCs w:val="22"/>
              </w:rPr>
              <w:t xml:space="preserve"> </w:t>
            </w:r>
            <w:r w:rsidRPr="00AF7DDD">
              <w:rPr>
                <w:i/>
                <w:color w:val="000000"/>
                <w:sz w:val="22"/>
                <w:szCs w:val="22"/>
              </w:rPr>
              <w:t>Эксперт принимает решение о соответствии/несоответствии, при этом в случае допуска участника процедуры до оценочной стадии Эксперт должен предоставить необходимое обоснование, а итоговая оценка на оценочной стадии не должна превышать 1 по пятибалльной шкале, если иное специально не оговорено в Методике (минимально допустимый уровень)</w:t>
            </w:r>
          </w:p>
        </w:tc>
      </w:tr>
      <w:tr w:rsidR="00BF662A" w:rsidRPr="00AF7DDD" w:rsidTr="00C242C7">
        <w:trPr>
          <w:trHeight w:val="712"/>
        </w:trPr>
        <w:tc>
          <w:tcPr>
            <w:tcW w:w="3687" w:type="dxa"/>
            <w:shd w:val="clear" w:color="000000" w:fill="F8FFB9"/>
            <w:vAlign w:val="center"/>
          </w:tcPr>
          <w:p w:rsidR="00BF662A" w:rsidRPr="00AF7DDD" w:rsidRDefault="00BF662A" w:rsidP="00C242C7">
            <w:pPr>
              <w:rPr>
                <w:i/>
                <w:color w:val="000000"/>
                <w:sz w:val="22"/>
                <w:szCs w:val="22"/>
              </w:rPr>
            </w:pPr>
            <w:r w:rsidRPr="00AF7DDD">
              <w:rPr>
                <w:i/>
                <w:color w:val="000000"/>
                <w:sz w:val="22"/>
                <w:szCs w:val="22"/>
              </w:rPr>
              <w:t>Необходимо участие эксперта (оценка 1-5) более двух риск факторов</w:t>
            </w:r>
          </w:p>
        </w:tc>
        <w:tc>
          <w:tcPr>
            <w:tcW w:w="6224" w:type="dxa"/>
            <w:shd w:val="clear" w:color="000000" w:fill="F8FFB9"/>
          </w:tcPr>
          <w:p w:rsidR="00BF662A" w:rsidRPr="00AF7DDD" w:rsidRDefault="00BF662A" w:rsidP="00C242C7">
            <w:pPr>
              <w:jc w:val="both"/>
              <w:rPr>
                <w:color w:val="000000"/>
                <w:sz w:val="22"/>
                <w:szCs w:val="22"/>
              </w:rPr>
            </w:pPr>
            <w:r w:rsidRPr="00AF7DDD">
              <w:rPr>
                <w:color w:val="000000"/>
                <w:sz w:val="22"/>
                <w:szCs w:val="22"/>
              </w:rPr>
              <w:t>Надпись возникает, когда независимо от набранного количества баллов по шкале от 0 до 1 для оцениваемой компании реализуется более двух риск факторов</w:t>
            </w:r>
          </w:p>
          <w:p w:rsidR="00BF662A" w:rsidRPr="00AF7DDD" w:rsidRDefault="00BF662A" w:rsidP="00C242C7">
            <w:pPr>
              <w:jc w:val="both"/>
              <w:rPr>
                <w:color w:val="000000"/>
                <w:sz w:val="22"/>
                <w:szCs w:val="22"/>
              </w:rPr>
            </w:pPr>
            <w:r w:rsidRPr="00AF7DDD">
              <w:rPr>
                <w:b/>
                <w:i/>
                <w:color w:val="000000"/>
                <w:sz w:val="22"/>
                <w:szCs w:val="22"/>
              </w:rPr>
              <w:t xml:space="preserve">Действия Эксперта: </w:t>
            </w:r>
            <w:r w:rsidRPr="00AF7DDD">
              <w:rPr>
                <w:i/>
                <w:color w:val="000000"/>
                <w:sz w:val="22"/>
                <w:szCs w:val="22"/>
              </w:rPr>
              <w:t>в случае большого количества (более двух) риск-факторов Эксперт принимает решение о соответствии/несоответствии, при этом в случае допуска участника процедуры до оценочной стадии Эксперт должен предоставить необходимое обоснование, а итоговая оценка на оценочной стадии, если иное специально не оговорено в Методике, не должна превышать 1 по пятибалльной шкале (минимально допустимый уровень)</w:t>
            </w:r>
          </w:p>
        </w:tc>
      </w:tr>
      <w:tr w:rsidR="00BF662A" w:rsidRPr="00AF7DDD" w:rsidTr="00C242C7">
        <w:trPr>
          <w:trHeight w:val="2440"/>
        </w:trPr>
        <w:tc>
          <w:tcPr>
            <w:tcW w:w="3687" w:type="dxa"/>
            <w:shd w:val="clear" w:color="000000" w:fill="C6FED1"/>
            <w:vAlign w:val="center"/>
          </w:tcPr>
          <w:p w:rsidR="00BF662A" w:rsidRPr="00AF7DDD" w:rsidRDefault="00BF662A" w:rsidP="00C242C7">
            <w:pPr>
              <w:rPr>
                <w:i/>
                <w:color w:val="000000"/>
                <w:sz w:val="22"/>
                <w:szCs w:val="22"/>
              </w:rPr>
            </w:pPr>
            <w:r w:rsidRPr="00AF7DDD">
              <w:rPr>
                <w:i/>
                <w:color w:val="000000"/>
                <w:sz w:val="22"/>
                <w:szCs w:val="22"/>
              </w:rPr>
              <w:t>Соответствует (оценка 1-5) имеются риск-факторы</w:t>
            </w:r>
          </w:p>
          <w:p w:rsidR="00BF662A" w:rsidRPr="00AF7DDD" w:rsidRDefault="00BF662A" w:rsidP="00C242C7">
            <w:pPr>
              <w:rPr>
                <w:i/>
                <w:color w:val="000000"/>
                <w:sz w:val="22"/>
                <w:szCs w:val="22"/>
              </w:rPr>
            </w:pPr>
          </w:p>
          <w:p w:rsidR="00BF662A" w:rsidRPr="00AF7DDD" w:rsidRDefault="00BF662A" w:rsidP="00C242C7">
            <w:pPr>
              <w:rPr>
                <w:i/>
                <w:color w:val="000000"/>
                <w:sz w:val="22"/>
                <w:szCs w:val="22"/>
              </w:rPr>
            </w:pPr>
            <w:r w:rsidRPr="00AF7DDD">
              <w:rPr>
                <w:i/>
                <w:color w:val="000000"/>
                <w:sz w:val="22"/>
                <w:szCs w:val="22"/>
              </w:rPr>
              <w:t>Соответствует (оценка 1-5)</w:t>
            </w:r>
          </w:p>
        </w:tc>
        <w:tc>
          <w:tcPr>
            <w:tcW w:w="6224" w:type="dxa"/>
            <w:shd w:val="clear" w:color="000000" w:fill="C6FED1"/>
          </w:tcPr>
          <w:p w:rsidR="00BF662A" w:rsidRPr="00AF7DDD" w:rsidRDefault="00BF662A" w:rsidP="00C242C7">
            <w:pPr>
              <w:jc w:val="both"/>
              <w:rPr>
                <w:color w:val="000000"/>
                <w:sz w:val="22"/>
                <w:szCs w:val="22"/>
              </w:rPr>
            </w:pPr>
            <w:r w:rsidRPr="00AF7DDD">
              <w:rPr>
                <w:color w:val="000000"/>
                <w:sz w:val="22"/>
                <w:szCs w:val="22"/>
              </w:rPr>
              <w:t>Компания-участница закупочной процедуры набирает более 0,5 баллов по шкале от 0 до 1. При этом имеется не более двух риск-факторов. Далее все компании, набравшие более 0,5 баллов по шкале от 0 до 1 (по которым принято положительное решение на отборочной стадии) ранжируются с присвоением оценки по пятибалльной шкале от 1 до 5. В настоящей методике ранжир осуществляется равномерным переводом первичной шкалы от 0,5 до 1 в шкалу от 1 до 5.</w:t>
            </w:r>
          </w:p>
          <w:p w:rsidR="00BF662A" w:rsidRPr="00AF7DDD" w:rsidRDefault="00BF662A" w:rsidP="00C242C7">
            <w:pPr>
              <w:jc w:val="both"/>
              <w:rPr>
                <w:color w:val="000000"/>
                <w:sz w:val="22"/>
                <w:szCs w:val="22"/>
              </w:rPr>
            </w:pPr>
            <w:r w:rsidRPr="00AF7DDD">
              <w:rPr>
                <w:b/>
                <w:i/>
                <w:color w:val="000000"/>
                <w:sz w:val="22"/>
                <w:szCs w:val="22"/>
              </w:rPr>
              <w:t xml:space="preserve">Действия Эксперта: </w:t>
            </w:r>
            <w:r w:rsidRPr="00AF7DDD">
              <w:rPr>
                <w:i/>
                <w:color w:val="000000"/>
                <w:sz w:val="22"/>
                <w:szCs w:val="22"/>
              </w:rPr>
              <w:t>в такой ситуации на отборочной стадии Эксперт не может изменить автоматически принятое решение о соответствии, однако за ним остается право при необходимости скорректировать итоговую оценку не более чем на 1 балл по пятибалльной шкале, при условии, что с учетом корректировки итоговая оценка будет находиться в пределах от 1 до 5</w:t>
            </w:r>
          </w:p>
        </w:tc>
      </w:tr>
    </w:tbl>
    <w:p w:rsidR="00BF662A" w:rsidRPr="003D53D2" w:rsidRDefault="00BF662A" w:rsidP="00C242C7">
      <w:pPr>
        <w:numPr>
          <w:ilvl w:val="0"/>
          <w:numId w:val="16"/>
        </w:numPr>
        <w:ind w:left="0" w:firstLine="0"/>
        <w:jc w:val="both"/>
        <w:rPr>
          <w:b/>
          <w:bCs/>
        </w:rPr>
      </w:pPr>
      <w:bookmarkStart w:id="93" w:name="_Toc322961189"/>
      <w:bookmarkStart w:id="94" w:name="_Toc326066024"/>
      <w:bookmarkStart w:id="95" w:name="_Toc326066294"/>
      <w:r w:rsidRPr="003D53D2">
        <w:rPr>
          <w:b/>
          <w:bCs/>
        </w:rPr>
        <w:t xml:space="preserve">Проведение финансово-экономической экспертизы участников закупочных процедур, применяющих упрощенную систему налогообложения (УСН) </w:t>
      </w:r>
      <w:bookmarkEnd w:id="93"/>
      <w:r w:rsidRPr="003D53D2">
        <w:rPr>
          <w:b/>
          <w:bCs/>
        </w:rPr>
        <w:t>и индивидуальных предпринимателей</w:t>
      </w:r>
      <w:bookmarkEnd w:id="94"/>
      <w:bookmarkEnd w:id="95"/>
    </w:p>
    <w:p w:rsidR="00BF662A" w:rsidRPr="003D53D2" w:rsidRDefault="00BF662A" w:rsidP="00C242C7">
      <w:pPr>
        <w:numPr>
          <w:ilvl w:val="1"/>
          <w:numId w:val="16"/>
        </w:numPr>
        <w:ind w:left="0" w:firstLine="0"/>
        <w:jc w:val="both"/>
        <w:rPr>
          <w:bCs/>
        </w:rPr>
      </w:pPr>
      <w:bookmarkStart w:id="96" w:name="_Toc322961190"/>
      <w:bookmarkStart w:id="97" w:name="_Toc326066025"/>
      <w:bookmarkStart w:id="98" w:name="_Toc326066295"/>
      <w:r w:rsidRPr="003D53D2">
        <w:rPr>
          <w:bCs/>
        </w:rPr>
        <w:t>В случае если в соответствии с требованиями государственных нормативных документов, участники конкурентных закупочных процедур, применяющие упрощенную систему налогообложения, обязаны формировать бухгалтерскую отчетность (в формате ф.1 и ф.2,, специально предусмотренном для субъектов малого предпринимательства) экспертиза финансово-экономической устойчивости участников должна проводиться на основании этой отчетности в соответствии с Методикой.</w:t>
      </w:r>
    </w:p>
    <w:p w:rsidR="00BF662A" w:rsidRPr="003D53D2" w:rsidRDefault="00BF662A" w:rsidP="00C242C7">
      <w:pPr>
        <w:numPr>
          <w:ilvl w:val="1"/>
          <w:numId w:val="16"/>
        </w:numPr>
        <w:ind w:left="0" w:firstLine="0"/>
        <w:jc w:val="both"/>
        <w:rPr>
          <w:bCs/>
        </w:rPr>
      </w:pPr>
      <w:r w:rsidRPr="003D53D2">
        <w:rPr>
          <w:bCs/>
        </w:rPr>
        <w:t xml:space="preserve">В случае если подготовка и подача в налоговый орган бухгалтерской отчетности в соответствие с формой № 1 (бухгалтерский баланс) и формой № 2 (отчет о прибылях и убытках) не является обязательной для компаний, применяющих упрощенную систему налогообложения, или индивидуальных предпринимателей, то для них невозможно рассчитать финансовые коэффициенты и провести объемлющий анализ финансовой устойчивости - оценка таких </w:t>
      </w:r>
      <w:r w:rsidRPr="003D53D2">
        <w:rPr>
          <w:bCs/>
        </w:rPr>
        <w:lastRenderedPageBreak/>
        <w:t>компаний в рамках проведения финансово-экономической экспертизы осуществляется экспертно с учетом п.п. 4.3.-4.5.</w:t>
      </w:r>
      <w:bookmarkEnd w:id="96"/>
      <w:bookmarkEnd w:id="97"/>
      <w:bookmarkEnd w:id="98"/>
    </w:p>
    <w:p w:rsidR="00BF662A" w:rsidRPr="003D53D2" w:rsidRDefault="00BF662A" w:rsidP="00C242C7">
      <w:pPr>
        <w:numPr>
          <w:ilvl w:val="1"/>
          <w:numId w:val="16"/>
        </w:numPr>
        <w:ind w:left="0" w:firstLine="0"/>
        <w:jc w:val="both"/>
        <w:rPr>
          <w:bCs/>
        </w:rPr>
      </w:pPr>
      <w:bookmarkStart w:id="99" w:name="_Toc322961191"/>
      <w:bookmarkStart w:id="100" w:name="_Toc326066026"/>
      <w:bookmarkStart w:id="101" w:name="_Toc326066296"/>
      <w:r w:rsidRPr="003D53D2">
        <w:rPr>
          <w:bCs/>
        </w:rPr>
        <w:t>Решение о прохождении компанией, применяющей УСН (в условиях отсутствия бухгалтерской отчетности) или индивидуального предпринимателя, отборочной стадии может быть принято только при одновременном выполнении следующих критериев:</w:t>
      </w:r>
      <w:bookmarkEnd w:id="99"/>
      <w:bookmarkEnd w:id="100"/>
      <w:bookmarkEnd w:id="101"/>
    </w:p>
    <w:p w:rsidR="00BF662A" w:rsidRPr="003D53D2" w:rsidRDefault="00BF662A" w:rsidP="00C242C7">
      <w:pPr>
        <w:numPr>
          <w:ilvl w:val="0"/>
          <w:numId w:val="21"/>
        </w:numPr>
        <w:ind w:left="0" w:firstLine="0"/>
        <w:jc w:val="both"/>
        <w:rPr>
          <w:bCs/>
        </w:rPr>
      </w:pPr>
      <w:bookmarkStart w:id="102" w:name="_Toc322961192"/>
      <w:bookmarkStart w:id="103" w:name="_Toc326066027"/>
      <w:bookmarkStart w:id="104" w:name="_Toc326066297"/>
      <w:r w:rsidRPr="003D53D2">
        <w:rPr>
          <w:bCs/>
        </w:rPr>
        <w:t xml:space="preserve">срок существования не менее </w:t>
      </w:r>
      <w:r w:rsidR="005F722C" w:rsidRPr="005F722C">
        <w:rPr>
          <w:bCs/>
        </w:rPr>
        <w:t>3</w:t>
      </w:r>
      <w:r w:rsidRPr="003D53D2">
        <w:rPr>
          <w:bCs/>
        </w:rPr>
        <w:t xml:space="preserve"> лет;</w:t>
      </w:r>
      <w:bookmarkEnd w:id="102"/>
      <w:bookmarkEnd w:id="103"/>
      <w:bookmarkEnd w:id="104"/>
    </w:p>
    <w:p w:rsidR="00BF662A" w:rsidRPr="003D53D2" w:rsidRDefault="00BF662A" w:rsidP="00C242C7">
      <w:pPr>
        <w:numPr>
          <w:ilvl w:val="0"/>
          <w:numId w:val="21"/>
        </w:numPr>
        <w:ind w:left="0" w:firstLine="0"/>
        <w:jc w:val="both"/>
        <w:rPr>
          <w:bCs/>
        </w:rPr>
      </w:pPr>
      <w:bookmarkStart w:id="105" w:name="_Toc322961193"/>
      <w:bookmarkStart w:id="106" w:name="_Toc326066028"/>
      <w:bookmarkStart w:id="107" w:name="_Toc326066298"/>
      <w:r w:rsidRPr="003D53D2">
        <w:rPr>
          <w:bCs/>
        </w:rPr>
        <w:t>вид деятельности участника закупочной процедуры по классификации ОКВЭД совпадает с предметом закупки;</w:t>
      </w:r>
      <w:bookmarkEnd w:id="105"/>
      <w:bookmarkEnd w:id="106"/>
      <w:bookmarkEnd w:id="107"/>
    </w:p>
    <w:p w:rsidR="00BF662A" w:rsidRPr="003D53D2" w:rsidRDefault="00BF662A" w:rsidP="00C242C7">
      <w:pPr>
        <w:numPr>
          <w:ilvl w:val="0"/>
          <w:numId w:val="21"/>
        </w:numPr>
        <w:ind w:left="0" w:firstLine="0"/>
        <w:jc w:val="both"/>
        <w:rPr>
          <w:bCs/>
        </w:rPr>
      </w:pPr>
      <w:bookmarkStart w:id="108" w:name="_Toc322961194"/>
      <w:bookmarkStart w:id="109" w:name="_Toc326066029"/>
      <w:bookmarkStart w:id="110" w:name="_Toc326066299"/>
      <w:r w:rsidRPr="003D53D2">
        <w:rPr>
          <w:bCs/>
        </w:rPr>
        <w:t>компания имеет необходимые материально-технические и кадровые ресурсы (согласно предоставленным справкам);</w:t>
      </w:r>
      <w:bookmarkEnd w:id="108"/>
      <w:bookmarkEnd w:id="109"/>
      <w:bookmarkEnd w:id="110"/>
    </w:p>
    <w:p w:rsidR="00BF662A" w:rsidRPr="003D53D2" w:rsidRDefault="00BF662A" w:rsidP="00C242C7">
      <w:pPr>
        <w:numPr>
          <w:ilvl w:val="0"/>
          <w:numId w:val="21"/>
        </w:numPr>
        <w:ind w:left="0" w:firstLine="0"/>
        <w:jc w:val="both"/>
        <w:rPr>
          <w:bCs/>
        </w:rPr>
      </w:pPr>
      <w:bookmarkStart w:id="111" w:name="_Toc322961195"/>
      <w:bookmarkStart w:id="112" w:name="_Toc326066030"/>
      <w:bookmarkStart w:id="113" w:name="_Toc326066300"/>
      <w:r w:rsidRPr="003D53D2">
        <w:rPr>
          <w:bCs/>
        </w:rPr>
        <w:t xml:space="preserve">стоимость планируемой закупки без НДС не превышает </w:t>
      </w:r>
      <w:r w:rsidRPr="005F722C">
        <w:rPr>
          <w:bCs/>
        </w:rPr>
        <w:t>120</w:t>
      </w:r>
      <w:r w:rsidRPr="003D53D2">
        <w:rPr>
          <w:bCs/>
        </w:rPr>
        <w:t>% годового дохода (согласно налоговой декларации);</w:t>
      </w:r>
      <w:bookmarkEnd w:id="111"/>
      <w:bookmarkEnd w:id="112"/>
      <w:bookmarkEnd w:id="113"/>
    </w:p>
    <w:p w:rsidR="00BF662A" w:rsidRPr="003D53D2" w:rsidRDefault="00BF662A" w:rsidP="00C242C7">
      <w:pPr>
        <w:numPr>
          <w:ilvl w:val="0"/>
          <w:numId w:val="21"/>
        </w:numPr>
        <w:ind w:left="0" w:firstLine="0"/>
        <w:jc w:val="both"/>
        <w:rPr>
          <w:bCs/>
        </w:rPr>
      </w:pPr>
      <w:r w:rsidRPr="003D53D2">
        <w:rPr>
          <w:bCs/>
        </w:rPr>
        <w:t xml:space="preserve">отсутствует </w:t>
      </w:r>
      <w:r w:rsidRPr="003D53D2">
        <w:t>задолженность по начисленным налогам, сборам и иным обязательным платежам</w:t>
      </w:r>
    </w:p>
    <w:p w:rsidR="00BF662A" w:rsidRPr="003D53D2" w:rsidRDefault="00BF662A" w:rsidP="00C242C7">
      <w:pPr>
        <w:numPr>
          <w:ilvl w:val="0"/>
          <w:numId w:val="21"/>
        </w:numPr>
        <w:ind w:left="0" w:firstLine="0"/>
        <w:jc w:val="both"/>
        <w:rPr>
          <w:bCs/>
        </w:rPr>
      </w:pPr>
      <w:r w:rsidRPr="003D53D2">
        <w:rPr>
          <w:bCs/>
        </w:rPr>
        <w:t>финансовые условия сделки не предусматривают выплату аванса, не покрытого банковской гарантией.</w:t>
      </w:r>
    </w:p>
    <w:p w:rsidR="00BF662A" w:rsidRPr="003D53D2" w:rsidRDefault="00BF662A" w:rsidP="00C242C7">
      <w:pPr>
        <w:numPr>
          <w:ilvl w:val="1"/>
          <w:numId w:val="16"/>
        </w:numPr>
        <w:ind w:left="0" w:firstLine="0"/>
        <w:jc w:val="both"/>
      </w:pPr>
      <w:r w:rsidRPr="003D53D2">
        <w:rPr>
          <w:bCs/>
        </w:rPr>
        <w:t>За исключением случаев, описанных ниже в п. 4.5. несоответствие хотя бы по одному из перечисленных выше критериев должно являться основанием для отклонения предложения участника закупочной процедуры, применяющего УСН (в условиях отсутствия бухгалтерской отчетности) или индивидуального предпринимателя, на отборочной стадии.</w:t>
      </w:r>
    </w:p>
    <w:p w:rsidR="00BF662A" w:rsidRPr="003D53D2" w:rsidRDefault="00BF662A" w:rsidP="00C242C7">
      <w:pPr>
        <w:numPr>
          <w:ilvl w:val="1"/>
          <w:numId w:val="16"/>
        </w:numPr>
        <w:ind w:left="0" w:firstLine="0"/>
        <w:jc w:val="both"/>
      </w:pPr>
      <w:r w:rsidRPr="003D53D2">
        <w:t>С целью расширения доступа компаний, применяющих упрощенную систему налогообложения (УСН) и индивидуальных предпринимателей к участию в конкурентных закупочных процедура</w:t>
      </w:r>
      <w:r w:rsidR="00454A99">
        <w:t>х, организованных Обществом</w:t>
      </w:r>
      <w:r w:rsidRPr="003D53D2">
        <w:t>, в случаях, когда не выполнен только критерий соответствия масштабов деятельности участника стоимости планируемой закупки, и при этом все остальные критерии выполнены, включая отсутствие аванса, разрешается для ограниченного перечня конкурентных закупочных процедур экспертно допускать участников до оценочной стадии. Итоговая оценка при этом не должна превышать 1 по пятибалльной шкале (минимально допустимый уровень). Перечень конкурентных закупочных процедур для которых применимы положения настоящего пункта ограничивается закупочными процедурами по перечисленным ниж</w:t>
      </w:r>
      <w:r w:rsidR="00454A99">
        <w:t>е статьям расходов Общества,</w:t>
      </w:r>
      <w:r w:rsidRPr="003D53D2">
        <w:t xml:space="preserve"> плановая стоимость закупки по которым не превышает </w:t>
      </w:r>
      <w:r w:rsidRPr="005F722C">
        <w:t>30</w:t>
      </w:r>
      <w:r w:rsidRPr="003D53D2">
        <w:t xml:space="preserve"> млн. рублей без НДС:</w:t>
      </w:r>
    </w:p>
    <w:p w:rsidR="00BF662A" w:rsidRPr="003D53D2" w:rsidRDefault="00BF662A" w:rsidP="00C242C7">
      <w:pPr>
        <w:numPr>
          <w:ilvl w:val="3"/>
          <w:numId w:val="23"/>
        </w:numPr>
        <w:ind w:left="0" w:firstLine="0"/>
        <w:jc w:val="both"/>
      </w:pPr>
      <w:r w:rsidRPr="003D53D2">
        <w:t>административно-хозяйственные расходы (поставки и услуги);</w:t>
      </w:r>
    </w:p>
    <w:p w:rsidR="00BF662A" w:rsidRPr="003D53D2" w:rsidRDefault="00BF662A" w:rsidP="00C242C7">
      <w:pPr>
        <w:numPr>
          <w:ilvl w:val="3"/>
          <w:numId w:val="23"/>
        </w:numPr>
        <w:ind w:left="0" w:firstLine="0"/>
        <w:jc w:val="both"/>
      </w:pPr>
      <w:r w:rsidRPr="003D53D2">
        <w:t>охрана (услуги);</w:t>
      </w:r>
    </w:p>
    <w:p w:rsidR="00BF662A" w:rsidRPr="003D53D2" w:rsidRDefault="00BF662A" w:rsidP="00C242C7">
      <w:pPr>
        <w:numPr>
          <w:ilvl w:val="3"/>
          <w:numId w:val="23"/>
        </w:numPr>
        <w:ind w:left="0" w:firstLine="0"/>
        <w:jc w:val="both"/>
      </w:pPr>
      <w:r w:rsidRPr="003D53D2">
        <w:t>консультационные и информационные расходы (поставки и услуги);</w:t>
      </w:r>
    </w:p>
    <w:p w:rsidR="00BF662A" w:rsidRPr="003D53D2" w:rsidRDefault="00BF662A" w:rsidP="00C242C7">
      <w:pPr>
        <w:numPr>
          <w:ilvl w:val="3"/>
          <w:numId w:val="23"/>
        </w:numPr>
        <w:ind w:left="0" w:firstLine="0"/>
        <w:jc w:val="both"/>
      </w:pPr>
      <w:r w:rsidRPr="003D53D2">
        <w:t>аудит и оценка (поставки и услуги);</w:t>
      </w:r>
    </w:p>
    <w:p w:rsidR="00BF662A" w:rsidRPr="003D53D2" w:rsidRDefault="00BF662A" w:rsidP="00C242C7">
      <w:pPr>
        <w:numPr>
          <w:ilvl w:val="3"/>
          <w:numId w:val="23"/>
        </w:numPr>
        <w:ind w:left="0" w:firstLine="0"/>
        <w:jc w:val="both"/>
      </w:pPr>
      <w:r w:rsidRPr="003D53D2">
        <w:t>юридические услуги (поставки и услуги);</w:t>
      </w:r>
    </w:p>
    <w:p w:rsidR="00BF662A" w:rsidRPr="003D53D2" w:rsidRDefault="00BF662A" w:rsidP="00C242C7">
      <w:pPr>
        <w:numPr>
          <w:ilvl w:val="3"/>
          <w:numId w:val="23"/>
        </w:numPr>
        <w:ind w:left="0" w:firstLine="0"/>
        <w:jc w:val="both"/>
      </w:pPr>
      <w:r w:rsidRPr="003D53D2">
        <w:t>корпоративное управление (поставки и услуги);</w:t>
      </w:r>
    </w:p>
    <w:p w:rsidR="00BF662A" w:rsidRPr="003D53D2" w:rsidRDefault="00BF662A" w:rsidP="00C242C7">
      <w:pPr>
        <w:numPr>
          <w:ilvl w:val="3"/>
          <w:numId w:val="23"/>
        </w:numPr>
        <w:ind w:left="0" w:firstLine="0"/>
        <w:jc w:val="both"/>
      </w:pPr>
      <w:r w:rsidRPr="003D53D2">
        <w:t>расходы на персонал (поставки и услуги);</w:t>
      </w:r>
    </w:p>
    <w:p w:rsidR="00BF662A" w:rsidRPr="003D53D2" w:rsidRDefault="00BF662A" w:rsidP="00C242C7">
      <w:pPr>
        <w:numPr>
          <w:ilvl w:val="3"/>
          <w:numId w:val="23"/>
        </w:numPr>
        <w:ind w:left="0" w:firstLine="0"/>
        <w:jc w:val="both"/>
      </w:pPr>
      <w:r w:rsidRPr="003D53D2">
        <w:t>реклама и маркетинг (поставки и услуги).</w:t>
      </w:r>
    </w:p>
    <w:p w:rsidR="00BF662A" w:rsidRPr="003D53D2" w:rsidRDefault="00BF662A" w:rsidP="00C242C7">
      <w:pPr>
        <w:numPr>
          <w:ilvl w:val="1"/>
          <w:numId w:val="16"/>
        </w:numPr>
        <w:ind w:left="0" w:firstLine="0"/>
        <w:jc w:val="both"/>
        <w:rPr>
          <w:rStyle w:val="10"/>
          <w:b w:val="0"/>
        </w:rPr>
      </w:pPr>
      <w:bookmarkStart w:id="114" w:name="_Toc322961198"/>
      <w:bookmarkStart w:id="115" w:name="_Toc326066033"/>
      <w:bookmarkStart w:id="116" w:name="_Toc326066303"/>
      <w:r w:rsidRPr="003D53D2">
        <w:rPr>
          <w:bCs/>
        </w:rPr>
        <w:t>При отсутствии данных бухгалтерской отчетности в рамках проведения финансово-экономической экспертизы на оценочной стадии, компании, применяющей УСН, или индивидуальному предпринимателю не может быть присвоена оценка выше 1 (минимально допустимый уровень).</w:t>
      </w:r>
      <w:bookmarkEnd w:id="114"/>
      <w:bookmarkEnd w:id="115"/>
      <w:bookmarkEnd w:id="116"/>
    </w:p>
    <w:p w:rsidR="00AF7DDD" w:rsidRPr="00534B00" w:rsidRDefault="005F722C" w:rsidP="00C242C7">
      <w:pPr>
        <w:spacing w:after="200" w:line="276" w:lineRule="auto"/>
        <w:rPr>
          <w:rStyle w:val="10"/>
        </w:rPr>
      </w:pPr>
      <w:bookmarkStart w:id="117" w:name="_Toc516132535"/>
      <w:bookmarkStart w:id="118" w:name="_Toc322961199"/>
      <w:bookmarkStart w:id="119" w:name="_Toc326066034"/>
      <w:bookmarkStart w:id="120" w:name="_Toc326066304"/>
      <w:bookmarkStart w:id="121" w:name="_Toc326067326"/>
      <w:r>
        <w:rPr>
          <w:rStyle w:val="10"/>
        </w:rPr>
        <w:br w:type="page"/>
      </w:r>
    </w:p>
    <w:p w:rsidR="00BF662A" w:rsidRPr="00AF7DDD" w:rsidRDefault="00BF662A" w:rsidP="00C242C7">
      <w:pPr>
        <w:rPr>
          <w:rStyle w:val="10"/>
        </w:rPr>
      </w:pPr>
      <w:bookmarkStart w:id="122" w:name="_Toc518302246"/>
      <w:r w:rsidRPr="003D53D2">
        <w:rPr>
          <w:rStyle w:val="10"/>
        </w:rPr>
        <w:lastRenderedPageBreak/>
        <w:t>Приложение 3 Алгоритм действия Эксперта при подготовке заключения по направлению финансово-экономической экспертизы с использованием шаблона «Финэкспертиза_МСП.</w:t>
      </w:r>
      <w:r w:rsidRPr="003D53D2">
        <w:rPr>
          <w:rStyle w:val="10"/>
          <w:lang w:val="en-US"/>
        </w:rPr>
        <w:t>xls</w:t>
      </w:r>
      <w:r w:rsidRPr="003D53D2">
        <w:rPr>
          <w:rStyle w:val="10"/>
        </w:rPr>
        <w:t>» (по закупочным процедурам, участниками которых могут быть только субъекты малого и среднего предпринимательства)</w:t>
      </w:r>
      <w:bookmarkEnd w:id="117"/>
      <w:bookmarkEnd w:id="122"/>
      <w:r w:rsidR="00072E2C" w:rsidRPr="00072E2C">
        <w:rPr>
          <w:b/>
          <w:bCs/>
          <w:kern w:val="32"/>
        </w:rPr>
        <w:t xml:space="preserve"> </w:t>
      </w:r>
      <w:r w:rsidR="00072E2C">
        <w:rPr>
          <w:rStyle w:val="af6"/>
          <w:b/>
          <w:bCs/>
          <w:kern w:val="32"/>
        </w:rPr>
        <w:footnoteReference w:id="3"/>
      </w:r>
    </w:p>
    <w:p w:rsidR="00AF7DDD" w:rsidRPr="00AF7DDD" w:rsidRDefault="00AF7DDD" w:rsidP="00C242C7">
      <w:pPr>
        <w:rPr>
          <w:b/>
          <w:bCs/>
          <w:kern w:val="32"/>
        </w:rPr>
      </w:pPr>
    </w:p>
    <w:p w:rsidR="00BF662A" w:rsidRPr="003D53D2" w:rsidRDefault="00BF662A" w:rsidP="00C242C7">
      <w:pPr>
        <w:numPr>
          <w:ilvl w:val="0"/>
          <w:numId w:val="24"/>
        </w:numPr>
        <w:ind w:left="0" w:firstLine="0"/>
        <w:jc w:val="both"/>
        <w:rPr>
          <w:b/>
        </w:rPr>
      </w:pPr>
      <w:r w:rsidRPr="003D53D2">
        <w:rPr>
          <w:b/>
        </w:rPr>
        <w:t>Формат заключения</w:t>
      </w:r>
    </w:p>
    <w:p w:rsidR="00BF662A" w:rsidRPr="003D53D2" w:rsidRDefault="00BF662A" w:rsidP="00C242C7">
      <w:pPr>
        <w:numPr>
          <w:ilvl w:val="1"/>
          <w:numId w:val="24"/>
        </w:numPr>
        <w:ind w:left="0" w:firstLine="0"/>
        <w:jc w:val="both"/>
        <w:rPr>
          <w:b/>
        </w:rPr>
      </w:pPr>
      <w:r w:rsidRPr="003D53D2">
        <w:t>Для реализации подхода к проведению финансово-экономической экспертизы по закупочным процедурам, участниками которых могут быть только субъекты малого и среднего предпринимательства согласно Методике Финансово-экономическим центром ПАО «Интер РАО» разработан шаблон «Финэкспертиза_МСП.</w:t>
      </w:r>
      <w:r w:rsidRPr="003D53D2">
        <w:rPr>
          <w:lang w:val="en-US"/>
        </w:rPr>
        <w:t>xls</w:t>
      </w:r>
      <w:r w:rsidRPr="003D53D2">
        <w:t xml:space="preserve">» (файл в формате </w:t>
      </w:r>
      <w:r w:rsidRPr="003D53D2">
        <w:rPr>
          <w:lang w:val="en-US"/>
        </w:rPr>
        <w:t>MS</w:t>
      </w:r>
      <w:r w:rsidRPr="003D53D2">
        <w:t xml:space="preserve"> </w:t>
      </w:r>
      <w:r w:rsidRPr="003D53D2">
        <w:rPr>
          <w:lang w:val="en-US"/>
        </w:rPr>
        <w:t>Excel</w:t>
      </w:r>
      <w:r w:rsidRPr="003D53D2">
        <w:t>), куда внесены формулы для расчета финансовых показателей и весовые коэффициенты. В шаблоне также осуществляется расчет итогового показателя, используемого для ранжирования участников закупочной процедуры. Шаблон «Финэкспертиза_МСП.</w:t>
      </w:r>
      <w:r w:rsidRPr="003D53D2">
        <w:rPr>
          <w:lang w:val="en-US"/>
        </w:rPr>
        <w:t>xls</w:t>
      </w:r>
      <w:r w:rsidRPr="003D53D2">
        <w:t>» прикладывается к Методике.</w:t>
      </w:r>
    </w:p>
    <w:p w:rsidR="00BF662A" w:rsidRPr="003D53D2" w:rsidRDefault="00BF662A" w:rsidP="00C242C7">
      <w:pPr>
        <w:numPr>
          <w:ilvl w:val="1"/>
          <w:numId w:val="24"/>
        </w:numPr>
        <w:ind w:left="0" w:firstLine="0"/>
        <w:jc w:val="both"/>
        <w:rPr>
          <w:b/>
        </w:rPr>
      </w:pPr>
      <w:r w:rsidRPr="003D53D2">
        <w:t>Заключение по направлению финансово-экономической экспертизы готовится Экспертом по форме, установленной в приложении 5. Формат таблицы в приложении полностью соответствует формату шаблона «Финэкспертиза_МСП.</w:t>
      </w:r>
      <w:r w:rsidRPr="003D53D2">
        <w:rPr>
          <w:lang w:val="en-US"/>
        </w:rPr>
        <w:t>xls</w:t>
      </w:r>
      <w:r w:rsidRPr="003D53D2">
        <w:t>», используемого для расчёта финансовых коэффициентов.</w:t>
      </w:r>
    </w:p>
    <w:p w:rsidR="00BF662A" w:rsidRPr="003D53D2" w:rsidRDefault="00BF662A" w:rsidP="00C242C7">
      <w:pPr>
        <w:numPr>
          <w:ilvl w:val="0"/>
          <w:numId w:val="24"/>
        </w:numPr>
        <w:ind w:left="0" w:firstLine="0"/>
        <w:jc w:val="both"/>
        <w:rPr>
          <w:b/>
        </w:rPr>
      </w:pPr>
      <w:r w:rsidRPr="003D53D2">
        <w:rPr>
          <w:b/>
        </w:rPr>
        <w:t>Оценка по критериям и подготовка заключения</w:t>
      </w:r>
    </w:p>
    <w:p w:rsidR="00BF662A" w:rsidRPr="003D53D2" w:rsidRDefault="00BF662A" w:rsidP="00C242C7">
      <w:pPr>
        <w:numPr>
          <w:ilvl w:val="1"/>
          <w:numId w:val="24"/>
        </w:numPr>
        <w:ind w:left="0" w:firstLine="0"/>
        <w:jc w:val="both"/>
      </w:pPr>
      <w:r w:rsidRPr="003D53D2">
        <w:t>Перед началом рассмотрения и оценки предложений участников закупочной процедуры Эксперт должен ознакомиться с условиями закупочной процедуры, изложенными в извещении о проведении закупочной процедуры и закупочной документации. Эксперт должен проверить наличие и полноту документов, необходимых для проведения финансово-экономической экспертизы. Эксперт вправе предложить закупочной комиссии затребовать от любого участника закупочной процедуры предоставления дополнительных сведений, необходимых для проведения экспертизы. Такое предложение должно сопровождаться письменным обоснованием необходимости запрашиваемой информации для оценки.</w:t>
      </w:r>
    </w:p>
    <w:p w:rsidR="00BF662A" w:rsidRPr="003D53D2" w:rsidRDefault="00BF662A" w:rsidP="00C242C7">
      <w:pPr>
        <w:numPr>
          <w:ilvl w:val="1"/>
          <w:numId w:val="24"/>
        </w:numPr>
        <w:ind w:left="0" w:firstLine="0"/>
        <w:jc w:val="both"/>
      </w:pPr>
      <w:r w:rsidRPr="003D53D2">
        <w:t>Подготовка заключения начинается с внесения Экспертом исходных данных в шаблон «Финэкспертиза_МСП.</w:t>
      </w:r>
      <w:r w:rsidRPr="003D53D2">
        <w:rPr>
          <w:lang w:val="en-US"/>
        </w:rPr>
        <w:t>xls</w:t>
      </w:r>
      <w:r w:rsidRPr="003D53D2">
        <w:t>» для осуществления оценки. Обязательными для заполнения являются следующие графы таблицы:</w:t>
      </w:r>
    </w:p>
    <w:p w:rsidR="00BF662A" w:rsidRPr="003D53D2" w:rsidRDefault="00BF662A" w:rsidP="00C242C7">
      <w:pPr>
        <w:numPr>
          <w:ilvl w:val="0"/>
          <w:numId w:val="17"/>
        </w:numPr>
        <w:ind w:left="0" w:firstLine="0"/>
        <w:jc w:val="both"/>
      </w:pPr>
      <w:r w:rsidRPr="003D53D2">
        <w:t>название компании;</w:t>
      </w:r>
    </w:p>
    <w:p w:rsidR="00BF662A" w:rsidRPr="003D53D2" w:rsidRDefault="00BF662A" w:rsidP="00C242C7">
      <w:pPr>
        <w:numPr>
          <w:ilvl w:val="0"/>
          <w:numId w:val="17"/>
        </w:numPr>
        <w:ind w:left="0" w:firstLine="0"/>
        <w:jc w:val="both"/>
      </w:pPr>
      <w:r w:rsidRPr="003D53D2">
        <w:t>ИНН;</w:t>
      </w:r>
    </w:p>
    <w:p w:rsidR="00BF662A" w:rsidRPr="003D53D2" w:rsidRDefault="00BF662A" w:rsidP="00C242C7">
      <w:pPr>
        <w:numPr>
          <w:ilvl w:val="0"/>
          <w:numId w:val="17"/>
        </w:numPr>
        <w:ind w:left="0" w:firstLine="0"/>
        <w:jc w:val="both"/>
      </w:pPr>
      <w:r w:rsidRPr="003D53D2">
        <w:t>регион;</w:t>
      </w:r>
    </w:p>
    <w:p w:rsidR="00BF662A" w:rsidRPr="003D53D2" w:rsidRDefault="00BF662A" w:rsidP="00C242C7">
      <w:pPr>
        <w:numPr>
          <w:ilvl w:val="0"/>
          <w:numId w:val="17"/>
        </w:numPr>
        <w:ind w:left="0" w:firstLine="0"/>
        <w:jc w:val="both"/>
      </w:pPr>
      <w:r w:rsidRPr="003D53D2">
        <w:t>дата регистрации;</w:t>
      </w:r>
    </w:p>
    <w:p w:rsidR="00BF662A" w:rsidRPr="003D53D2" w:rsidRDefault="00BF662A" w:rsidP="00C242C7">
      <w:pPr>
        <w:numPr>
          <w:ilvl w:val="0"/>
          <w:numId w:val="17"/>
        </w:numPr>
        <w:ind w:left="0" w:firstLine="0"/>
        <w:jc w:val="both"/>
      </w:pPr>
      <w:r w:rsidRPr="003D53D2">
        <w:t>основной вид деятельности (ОКВЭД);</w:t>
      </w:r>
    </w:p>
    <w:p w:rsidR="00BF662A" w:rsidRPr="003D53D2" w:rsidRDefault="00BF662A" w:rsidP="00C242C7">
      <w:pPr>
        <w:numPr>
          <w:ilvl w:val="0"/>
          <w:numId w:val="17"/>
        </w:numPr>
        <w:ind w:left="0" w:firstLine="0"/>
        <w:jc w:val="both"/>
      </w:pPr>
      <w:r w:rsidRPr="003D53D2">
        <w:t>начальная (максимальная) цена закупочной процедуры, тыс. руб. без НДС</w:t>
      </w:r>
    </w:p>
    <w:p w:rsidR="00BF662A" w:rsidRPr="003D53D2" w:rsidRDefault="00BF662A" w:rsidP="00C242C7">
      <w:pPr>
        <w:numPr>
          <w:ilvl w:val="0"/>
          <w:numId w:val="17"/>
        </w:numPr>
        <w:ind w:left="0" w:firstLine="0"/>
        <w:jc w:val="both"/>
      </w:pPr>
      <w:r w:rsidRPr="003D53D2">
        <w:t>сумма задолженности по начисленным налогам, сборам и иным обязательным платежам, тыс. руб.</w:t>
      </w:r>
    </w:p>
    <w:p w:rsidR="00BF662A" w:rsidRPr="003D53D2" w:rsidRDefault="00BF662A" w:rsidP="00C242C7">
      <w:pPr>
        <w:numPr>
          <w:ilvl w:val="0"/>
          <w:numId w:val="17"/>
        </w:numPr>
        <w:ind w:left="0" w:firstLine="0"/>
        <w:jc w:val="both"/>
      </w:pPr>
      <w:r w:rsidRPr="003D53D2">
        <w:t>данные бухгалтерской отчетности</w:t>
      </w:r>
    </w:p>
    <w:p w:rsidR="00BF662A" w:rsidRPr="003D53D2" w:rsidRDefault="00072E2C" w:rsidP="00C242C7">
      <w:pPr>
        <w:numPr>
          <w:ilvl w:val="1"/>
          <w:numId w:val="24"/>
        </w:numPr>
        <w:ind w:left="0" w:firstLine="0"/>
        <w:jc w:val="both"/>
      </w:pPr>
      <w:r w:rsidRPr="003D53D2">
        <w:t xml:space="preserve">Источниками информации при заполнении сводной таблицы для формирования итогового заключения служат бухгалтерская отчетность участника закупочной процедуры с </w:t>
      </w:r>
      <w:r w:rsidRPr="00136BB9">
        <w:t>подтверждением предоставления в ИФНС</w:t>
      </w:r>
      <w:r w:rsidRPr="003D53D2">
        <w:t>, копия устава, копия выписки из ЕГРЮЛ/ЕГРИП, анкета.</w:t>
      </w:r>
    </w:p>
    <w:p w:rsidR="00BF662A" w:rsidRPr="003D53D2" w:rsidRDefault="00072E2C" w:rsidP="00C242C7">
      <w:pPr>
        <w:numPr>
          <w:ilvl w:val="1"/>
          <w:numId w:val="24"/>
        </w:numPr>
        <w:ind w:left="0" w:firstLine="0"/>
        <w:jc w:val="both"/>
      </w:pPr>
      <w:r w:rsidRPr="003D53D2">
        <w:t xml:space="preserve">Источником информации при заполнении графы «Сумма задолженности по начисленным налогам, сборам и иным обязательным платежам, тыс. руб.» служит копия подписанной и заверенной печатью налогового органа справки об исполнении налогоплательщиком </w:t>
      </w:r>
      <w:r w:rsidRPr="003D53D2">
        <w:lastRenderedPageBreak/>
        <w:t>(плательщиком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w:t>
      </w:r>
      <w:r w:rsidRPr="00136BB9">
        <w:t xml:space="preserve">; в случае, если указанные справки предоставляются в форме электронного документа в формате </w:t>
      </w:r>
      <w:r w:rsidRPr="00136BB9">
        <w:rPr>
          <w:lang w:val="en-US"/>
        </w:rPr>
        <w:t>pdf</w:t>
      </w:r>
      <w:r w:rsidRPr="00136BB9">
        <w:t>, такие документы должны содержать усиленную квалифицированную электронную подпись налогового органа и ее визуализацию</w:t>
      </w:r>
      <w:r w:rsidRPr="003D53D2">
        <w:t>.</w:t>
      </w:r>
      <w:r w:rsidR="00BF662A" w:rsidRPr="003D53D2">
        <w:t xml:space="preserve"> </w:t>
      </w:r>
    </w:p>
    <w:p w:rsidR="00BF662A" w:rsidRPr="003D53D2" w:rsidRDefault="00BF662A" w:rsidP="00C242C7">
      <w:pPr>
        <w:jc w:val="both"/>
      </w:pPr>
      <w:r w:rsidRPr="003D53D2">
        <w:t>В случае наличия задолженности по начисленным налогам, сборам и иным обязательным платежам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 а Эксперт внести в графу «Сумма задолженности по начисленным налогам, сборам и иным обязательным платежам, тыс. руб.» указанную в справке сумму задолженности в тысячах российских рублей.</w:t>
      </w:r>
    </w:p>
    <w:p w:rsidR="00BF662A" w:rsidRPr="003D53D2" w:rsidRDefault="00BF662A" w:rsidP="00C242C7">
      <w:pPr>
        <w:jc w:val="both"/>
      </w:pPr>
      <w:r w:rsidRPr="003D53D2">
        <w:t xml:space="preserve">В случае отсутствия задолженности в графу «Сумма задолженности по начисленным налогам, сборам и иным обязательным платежам, тыс. руб.» Эксперт вносит 0. </w:t>
      </w:r>
    </w:p>
    <w:p w:rsidR="00BF662A" w:rsidRPr="003D53D2" w:rsidRDefault="00BF662A" w:rsidP="00C242C7">
      <w:pPr>
        <w:numPr>
          <w:ilvl w:val="1"/>
          <w:numId w:val="24"/>
        </w:numPr>
        <w:ind w:left="0" w:firstLine="0"/>
        <w:jc w:val="both"/>
      </w:pPr>
      <w:r w:rsidRPr="003D53D2">
        <w:t>При наличии оплаченного доступа к информационно-аналитической системе «Спарк-Интерфакс» (системе, содержащей данные, включая регистрационные и бухгалтерские, по большинству российских юридических лиц) и доступа к сети интернет, в шаблоне «Финэкспертиза_МСП.</w:t>
      </w:r>
      <w:r w:rsidRPr="003D53D2">
        <w:rPr>
          <w:lang w:val="en-US"/>
        </w:rPr>
        <w:t>xls</w:t>
      </w:r>
      <w:r w:rsidRPr="003D53D2">
        <w:t>» предусмотрена возможность автоматического заполнения формы.</w:t>
      </w:r>
    </w:p>
    <w:p w:rsidR="00BF662A" w:rsidRPr="003D53D2" w:rsidRDefault="00BF662A" w:rsidP="00C242C7">
      <w:pPr>
        <w:jc w:val="both"/>
      </w:pPr>
      <w:r w:rsidRPr="003D53D2">
        <w:t>Для этого на листе шаблона с соответствующим порядковым номером участника вводится его идентификационный номер налогоплательщика (ИНН), после этого при нажатии ссылки «Загрузить данные из Спарк» автоматически заполняются поля сводной формы.</w:t>
      </w:r>
    </w:p>
    <w:p w:rsidR="00BF662A" w:rsidRPr="003D53D2" w:rsidRDefault="00BF662A" w:rsidP="00C242C7">
      <w:pPr>
        <w:jc w:val="both"/>
      </w:pPr>
      <w:r w:rsidRPr="003D53D2">
        <w:t>В случае отсутствия каких-либо регистрационных или бухгалтерских данных по участнику закупочной процедуры в информационно-аналитической системе «Спарк-Интерфакс» (как правило, это бухгалтерская отчетность за последний отчетный период) недостающая информация вносится в шаблон непосредственно Экспертом.</w:t>
      </w:r>
    </w:p>
    <w:p w:rsidR="00BF662A" w:rsidRPr="003D53D2" w:rsidRDefault="00BF662A" w:rsidP="00C242C7">
      <w:pPr>
        <w:jc w:val="both"/>
      </w:pPr>
      <w:r w:rsidRPr="003D53D2">
        <w:t>Учитывая тот факт, что источником информации в системе «Спарк-Интерфакс» являются официальные государственные органы, такие как Федеральная налоговая служба, Федеральная служба государственной статистики, Центральный Банк России и др., – допускается использовать при проведении финансово-экономической экспертизы данные бухгалтерской отчетности, представленные в информационно-аналитической системе «Спарк-Интерфакс».</w:t>
      </w:r>
    </w:p>
    <w:p w:rsidR="00BF662A" w:rsidRPr="003D53D2" w:rsidRDefault="00BF662A" w:rsidP="00C242C7">
      <w:pPr>
        <w:jc w:val="both"/>
      </w:pPr>
      <w:r w:rsidRPr="003D53D2">
        <w:t>В случае расхождения данных бухгалтерской отчетности, предоставленных участником закупочной процедуры, и данных, представленных в информационно-аналитической системе «Спарк-Интерфакс» для расчета финансовых показателей должны использоваться данные, предоставленные непосредственно участником закупочной процедуры. При этом факт расхождения отражается Экспертом в его экспертном заключении.</w:t>
      </w:r>
    </w:p>
    <w:p w:rsidR="00BF662A" w:rsidRPr="003D53D2" w:rsidRDefault="00BF662A" w:rsidP="00C242C7">
      <w:pPr>
        <w:numPr>
          <w:ilvl w:val="1"/>
          <w:numId w:val="24"/>
        </w:numPr>
        <w:ind w:left="0" w:firstLine="0"/>
        <w:jc w:val="both"/>
      </w:pPr>
      <w:r w:rsidRPr="003D53D2">
        <w:t>На основании данных бухгалтерской отчетности в шаблоне «Финэкспертиза_МСП.</w:t>
      </w:r>
      <w:r w:rsidRPr="003D53D2">
        <w:rPr>
          <w:lang w:val="en-US"/>
        </w:rPr>
        <w:t>xls</w:t>
      </w:r>
      <w:r w:rsidRPr="003D53D2">
        <w:t>» рассчитываются финансовые коэффициенты и в зависимости от принимаемых значений им присваиваются баллы от 0 до 1.</w:t>
      </w:r>
    </w:p>
    <w:p w:rsidR="00BF662A" w:rsidRPr="003D53D2" w:rsidRDefault="00BF662A" w:rsidP="00C242C7">
      <w:pPr>
        <w:numPr>
          <w:ilvl w:val="1"/>
          <w:numId w:val="24"/>
        </w:numPr>
        <w:ind w:left="0" w:firstLine="0"/>
        <w:jc w:val="both"/>
      </w:pPr>
      <w:r w:rsidRPr="003D53D2">
        <w:t>Затем Эксперт качественно оценивает бизнес-риски, в числе которых:</w:t>
      </w:r>
    </w:p>
    <w:p w:rsidR="00BF662A" w:rsidRPr="003D53D2" w:rsidRDefault="00BF662A" w:rsidP="00C242C7">
      <w:pPr>
        <w:numPr>
          <w:ilvl w:val="0"/>
          <w:numId w:val="18"/>
        </w:numPr>
        <w:ind w:left="0" w:firstLine="0"/>
        <w:jc w:val="both"/>
      </w:pPr>
      <w:r w:rsidRPr="003D53D2">
        <w:t>соответствие основного вида деятельности по классификации ОКВЭД;</w:t>
      </w:r>
    </w:p>
    <w:p w:rsidR="00BF662A" w:rsidRPr="003D53D2" w:rsidRDefault="00BF662A" w:rsidP="00C242C7">
      <w:pPr>
        <w:numPr>
          <w:ilvl w:val="0"/>
          <w:numId w:val="18"/>
        </w:numPr>
        <w:ind w:left="0" w:firstLine="0"/>
        <w:jc w:val="both"/>
      </w:pPr>
      <w:r w:rsidRPr="003D53D2">
        <w:t>численность персонала;</w:t>
      </w:r>
    </w:p>
    <w:p w:rsidR="00BF662A" w:rsidRPr="003D53D2" w:rsidRDefault="00BF662A" w:rsidP="00C242C7">
      <w:pPr>
        <w:numPr>
          <w:ilvl w:val="0"/>
          <w:numId w:val="18"/>
        </w:numPr>
        <w:ind w:left="0" w:firstLine="0"/>
        <w:jc w:val="both"/>
      </w:pPr>
      <w:r w:rsidRPr="003D53D2">
        <w:t>регион ведения деятельности;</w:t>
      </w:r>
    </w:p>
    <w:p w:rsidR="00BF662A" w:rsidRPr="003D53D2" w:rsidRDefault="00BF662A" w:rsidP="00C242C7">
      <w:pPr>
        <w:numPr>
          <w:ilvl w:val="0"/>
          <w:numId w:val="18"/>
        </w:numPr>
        <w:ind w:left="0" w:firstLine="0"/>
        <w:jc w:val="both"/>
      </w:pPr>
      <w:r w:rsidRPr="003D53D2">
        <w:t>финансовые условия сделки (</w:t>
      </w:r>
      <w:r w:rsidR="00877C3F">
        <w:t xml:space="preserve">оценочный </w:t>
      </w:r>
      <w:r w:rsidRPr="003D53D2">
        <w:t>размер аванса</w:t>
      </w:r>
      <w:r w:rsidR="00877C3F">
        <w:t>, рассчитанный как указанный участником закупки в Графике оплаты процент</w:t>
      </w:r>
      <w:r w:rsidRPr="003D53D2">
        <w:t xml:space="preserve"> к начальной (максимальной) цене). </w:t>
      </w:r>
    </w:p>
    <w:p w:rsidR="00BF662A" w:rsidRPr="003D53D2" w:rsidRDefault="00BF662A" w:rsidP="00C242C7">
      <w:pPr>
        <w:jc w:val="both"/>
      </w:pPr>
      <w:r w:rsidRPr="003D53D2">
        <w:t xml:space="preserve">Оценки по критериям «соответствие основного вида деятельности по классификации ОКВЭД», «численность персонала», «соответствие региона ведения деятельности» напрямую не участвуют </w:t>
      </w:r>
      <w:r w:rsidRPr="003D53D2">
        <w:lastRenderedPageBreak/>
        <w:t>в формировании итоговой оценки по направлению финансово-экономической экспертизы. Однако, в случае если, по мнению эксперта, участие в закупочной процедуре при значительном несоответствии участника по данным критериям может существенно повлиять на его финансовую устойчивость, итоговая оценка может быть понижена экспертом, но не более чем на 0,5 балла по пятибалльной шкале.</w:t>
      </w:r>
    </w:p>
    <w:p w:rsidR="00BF662A" w:rsidRPr="003D53D2" w:rsidRDefault="00BF662A" w:rsidP="00C242C7">
      <w:pPr>
        <w:numPr>
          <w:ilvl w:val="2"/>
          <w:numId w:val="24"/>
        </w:numPr>
        <w:ind w:left="0" w:firstLine="0"/>
        <w:jc w:val="both"/>
      </w:pPr>
      <w:r w:rsidRPr="003D53D2">
        <w:t>Финансовые условия сделки оцениваются в разрезе следующих основных вариантов:</w:t>
      </w:r>
    </w:p>
    <w:p w:rsidR="00BF662A" w:rsidRPr="003D53D2" w:rsidRDefault="00BF662A" w:rsidP="00C242C7">
      <w:pPr>
        <w:numPr>
          <w:ilvl w:val="0"/>
          <w:numId w:val="19"/>
        </w:numPr>
        <w:ind w:left="0" w:firstLine="0"/>
        <w:jc w:val="both"/>
      </w:pPr>
      <w:r w:rsidRPr="003D53D2">
        <w:t>без предоплаты;</w:t>
      </w:r>
    </w:p>
    <w:p w:rsidR="00BF662A" w:rsidRPr="003D53D2" w:rsidRDefault="00BF662A" w:rsidP="00C242C7">
      <w:pPr>
        <w:numPr>
          <w:ilvl w:val="0"/>
          <w:numId w:val="19"/>
        </w:numPr>
        <w:ind w:left="0" w:firstLine="0"/>
        <w:jc w:val="both"/>
      </w:pPr>
      <w:r w:rsidRPr="003D53D2">
        <w:t>полное покрытие аванса банковской гарантией;</w:t>
      </w:r>
    </w:p>
    <w:p w:rsidR="00BF662A" w:rsidRPr="003D53D2" w:rsidRDefault="00BF662A" w:rsidP="00C242C7">
      <w:pPr>
        <w:numPr>
          <w:ilvl w:val="0"/>
          <w:numId w:val="19"/>
        </w:numPr>
        <w:ind w:left="0" w:firstLine="0"/>
        <w:jc w:val="both"/>
      </w:pPr>
      <w:r w:rsidRPr="003D53D2">
        <w:t>аванс без покрытия банковской гарантией.</w:t>
      </w:r>
    </w:p>
    <w:p w:rsidR="00BF662A" w:rsidRPr="003D53D2" w:rsidRDefault="00BF662A" w:rsidP="00C242C7">
      <w:pPr>
        <w:numPr>
          <w:ilvl w:val="3"/>
          <w:numId w:val="24"/>
        </w:numPr>
        <w:ind w:left="0" w:firstLine="0"/>
        <w:jc w:val="both"/>
      </w:pPr>
      <w:r w:rsidRPr="003D53D2">
        <w:t>К первому варианту «без предоплаты» относятся также случаи, когда договором предусмотрен ряд последовательных платежей в пользу участника закупочной процедуры, однако при этом каждый такой платеж осуществляется по факту осуществленной поставки или оказанной услуги.</w:t>
      </w:r>
    </w:p>
    <w:p w:rsidR="00BF662A" w:rsidRPr="003D53D2" w:rsidRDefault="00BF662A" w:rsidP="00C242C7">
      <w:pPr>
        <w:numPr>
          <w:ilvl w:val="3"/>
          <w:numId w:val="24"/>
        </w:numPr>
        <w:ind w:left="0" w:firstLine="0"/>
        <w:jc w:val="both"/>
      </w:pPr>
      <w:r w:rsidRPr="003D53D2">
        <w:t>Ко второму варианту «полное покрытие аванса банковской гарантией» относятся также случаи, когда договором предусмотрен ряд последовательных платежей в пользу участника закупочной процедуры, при этом каждый такой платеж, в случае если он осуществляется авансом, покрыт банковской гарантией.</w:t>
      </w:r>
    </w:p>
    <w:p w:rsidR="00BF662A" w:rsidRPr="003D53D2" w:rsidRDefault="00BF662A" w:rsidP="00C242C7">
      <w:pPr>
        <w:numPr>
          <w:ilvl w:val="3"/>
          <w:numId w:val="24"/>
        </w:numPr>
        <w:ind w:left="0" w:firstLine="0"/>
        <w:jc w:val="both"/>
      </w:pPr>
      <w:r w:rsidRPr="003D53D2">
        <w:t>Случай, когда какой-либо авансовый платеж или его часть в пользу участника закупочной процедуры планируется осуществить без покрытия банковской гарантией, такой вариант должен рассматриваться как «аванс без покрытия банковской гарантией».</w:t>
      </w:r>
    </w:p>
    <w:p w:rsidR="00BF662A" w:rsidRPr="003D53D2" w:rsidRDefault="00BF662A" w:rsidP="00C242C7">
      <w:pPr>
        <w:numPr>
          <w:ilvl w:val="1"/>
          <w:numId w:val="24"/>
        </w:numPr>
        <w:ind w:left="0" w:firstLine="0"/>
        <w:jc w:val="both"/>
      </w:pPr>
      <w:r w:rsidRPr="003D53D2">
        <w:t>Срок существования компаний-участниц закупочной процедуры определяется в шаблоне «Финэкспертиза_МСП.</w:t>
      </w:r>
      <w:r w:rsidRPr="003D53D2">
        <w:rPr>
          <w:lang w:val="en-US"/>
        </w:rPr>
        <w:t>xls</w:t>
      </w:r>
      <w:r w:rsidRPr="003D53D2">
        <w:t>» автоматически на основании заполненных граф с датой регистрации и датой подготовки заключения.</w:t>
      </w:r>
    </w:p>
    <w:p w:rsidR="00BF662A" w:rsidRPr="003D53D2" w:rsidRDefault="00BF662A" w:rsidP="00C242C7">
      <w:pPr>
        <w:jc w:val="both"/>
      </w:pPr>
      <w:r w:rsidRPr="003D53D2">
        <w:t>В шаблоне «Финэкспертиза_МСП.</w:t>
      </w:r>
      <w:r w:rsidRPr="003D53D2">
        <w:rPr>
          <w:lang w:val="en-US"/>
        </w:rPr>
        <w:t>xls</w:t>
      </w:r>
      <w:r w:rsidRPr="003D53D2">
        <w:t>» также реализовано сопоставление начальной (максимальной) цены закупочной процедуры и величины аванса, указанной в Графике оплаты участника закупочной процедуры, с его активами и годовой выручкой.</w:t>
      </w:r>
    </w:p>
    <w:p w:rsidR="00BF662A" w:rsidRPr="003D53D2" w:rsidRDefault="00BF662A" w:rsidP="00C242C7">
      <w:pPr>
        <w:jc w:val="both"/>
      </w:pPr>
      <w:r w:rsidRPr="003D53D2">
        <w:t>Оценка по критериям «срок существования» и «соответствие масштабов деятельности участника закупочной процедуры сумме закупки» осуществляется автоматически.</w:t>
      </w:r>
    </w:p>
    <w:p w:rsidR="00BF662A" w:rsidRPr="003D53D2" w:rsidRDefault="00BF662A" w:rsidP="00C242C7">
      <w:pPr>
        <w:numPr>
          <w:ilvl w:val="1"/>
          <w:numId w:val="24"/>
        </w:numPr>
        <w:ind w:left="0" w:firstLine="0"/>
        <w:jc w:val="both"/>
      </w:pPr>
      <w:r w:rsidRPr="003D53D2">
        <w:t>Когда в шаблон «Финэкспертиза_МСП.</w:t>
      </w:r>
      <w:r w:rsidRPr="003D53D2">
        <w:rPr>
          <w:lang w:val="en-US"/>
        </w:rPr>
        <w:t>xls</w:t>
      </w:r>
      <w:r w:rsidRPr="003D53D2">
        <w:t>» внесены:</w:t>
      </w:r>
    </w:p>
    <w:p w:rsidR="00BF662A" w:rsidRPr="003D53D2" w:rsidRDefault="00BF662A" w:rsidP="00C242C7">
      <w:pPr>
        <w:numPr>
          <w:ilvl w:val="0"/>
          <w:numId w:val="20"/>
        </w:numPr>
        <w:ind w:left="0" w:firstLine="0"/>
        <w:jc w:val="both"/>
      </w:pPr>
      <w:r w:rsidRPr="003D53D2">
        <w:t>регистрационные данные участника закупочной процедуры (название компании, ИНН, регион; дата регистрации, основной вид деятельности),</w:t>
      </w:r>
    </w:p>
    <w:p w:rsidR="00BF662A" w:rsidRPr="003D53D2" w:rsidRDefault="00BF662A" w:rsidP="00C242C7">
      <w:pPr>
        <w:numPr>
          <w:ilvl w:val="0"/>
          <w:numId w:val="20"/>
        </w:numPr>
        <w:ind w:left="0" w:firstLine="0"/>
        <w:jc w:val="both"/>
      </w:pPr>
      <w:r w:rsidRPr="003D53D2">
        <w:t>данные бухгалтерской отчетности,</w:t>
      </w:r>
    </w:p>
    <w:p w:rsidR="00BF662A" w:rsidRPr="003D53D2" w:rsidRDefault="00BF662A" w:rsidP="00C242C7">
      <w:pPr>
        <w:numPr>
          <w:ilvl w:val="0"/>
          <w:numId w:val="20"/>
        </w:numPr>
        <w:ind w:left="0" w:firstLine="0"/>
        <w:jc w:val="both"/>
      </w:pPr>
      <w:r w:rsidRPr="003D53D2">
        <w:t>проставлены галочки в соответствующих полях формы для условий оплаты,</w:t>
      </w:r>
    </w:p>
    <w:p w:rsidR="00BF662A" w:rsidRPr="003D53D2" w:rsidRDefault="00BF662A" w:rsidP="00C242C7">
      <w:pPr>
        <w:numPr>
          <w:ilvl w:val="0"/>
          <w:numId w:val="20"/>
        </w:numPr>
        <w:ind w:left="0" w:firstLine="0"/>
        <w:jc w:val="both"/>
      </w:pPr>
      <w:r w:rsidRPr="003D53D2">
        <w:t>занесена сумма задолженности по начисленным налогам, сборам и иным обязательным платежам в тыс. руб.,</w:t>
      </w:r>
    </w:p>
    <w:p w:rsidR="00BF662A" w:rsidRPr="003D53D2" w:rsidRDefault="00BF662A" w:rsidP="00C242C7">
      <w:pPr>
        <w:numPr>
          <w:ilvl w:val="0"/>
          <w:numId w:val="20"/>
        </w:numPr>
        <w:ind w:left="0" w:firstLine="0"/>
        <w:jc w:val="both"/>
      </w:pPr>
      <w:r w:rsidRPr="003D53D2">
        <w:t>указана начальная (максимальная) цена закупочной процедуры,</w:t>
      </w:r>
    </w:p>
    <w:p w:rsidR="00BF662A" w:rsidRPr="003D53D2" w:rsidRDefault="00BF662A" w:rsidP="00C242C7">
      <w:pPr>
        <w:jc w:val="both"/>
      </w:pPr>
      <w:r w:rsidRPr="003D53D2">
        <w:t>осуществляется автоматическая оценка участников закупочной процедуры на основе балльно-весового подхода, параметры которого (баллы и веса) определены Методикой.</w:t>
      </w:r>
    </w:p>
    <w:p w:rsidR="00BF662A" w:rsidRPr="003D53D2" w:rsidRDefault="00BF662A" w:rsidP="00C242C7">
      <w:pPr>
        <w:numPr>
          <w:ilvl w:val="0"/>
          <w:numId w:val="24"/>
        </w:numPr>
        <w:ind w:left="0" w:firstLine="0"/>
        <w:jc w:val="both"/>
        <w:rPr>
          <w:b/>
        </w:rPr>
      </w:pPr>
      <w:r w:rsidRPr="003D53D2">
        <w:rPr>
          <w:b/>
        </w:rPr>
        <w:t>Формирование окончательного решения</w:t>
      </w:r>
    </w:p>
    <w:p w:rsidR="00BF662A" w:rsidRPr="003D53D2" w:rsidRDefault="00BF662A" w:rsidP="00C242C7">
      <w:pPr>
        <w:numPr>
          <w:ilvl w:val="1"/>
          <w:numId w:val="24"/>
        </w:numPr>
        <w:ind w:left="0" w:firstLine="0"/>
        <w:jc w:val="both"/>
      </w:pPr>
      <w:r w:rsidRPr="003D53D2">
        <w:t xml:space="preserve">На отборочной стадии Эксперт, используя результаты совместного применения балльно-весового подхода и системы стоп и риск-факторов, согласно алгоритму, описанному в Методике, принимает решение о соответствии / несоответствии участников закупочной процедуры требованиям закупочной документации и настоящей Методики с точки зрения финансово-экономических критериев. В случае если на основании применения балльно-весового подхода и системы стоп и риск-факторов автоматически сформировалась оценка «не соответствует» или возникла пограничная ситуация, однако если при этом, по мнению Эксперта, имеются достаточные основания для повышения оценки до «соответствует» и допуска участника до оценочной стадии, Эксперт должен внести необходимые корректировки с обоснованием своей </w:t>
      </w:r>
      <w:r w:rsidRPr="003D53D2">
        <w:lastRenderedPageBreak/>
        <w:t>позиции в экспертном заключении. Итоговая оценка на оценочной стадии за исключением случаев, описанных в п. 3.7., при этом не должна превышать 1 по пятибалльной шкале (минимально допустимый уровень).</w:t>
      </w:r>
    </w:p>
    <w:p w:rsidR="00BF662A" w:rsidRPr="003D53D2" w:rsidRDefault="00BF662A" w:rsidP="00C242C7">
      <w:pPr>
        <w:numPr>
          <w:ilvl w:val="1"/>
          <w:numId w:val="24"/>
        </w:numPr>
        <w:ind w:left="0" w:firstLine="0"/>
        <w:jc w:val="both"/>
      </w:pPr>
      <w:r w:rsidRPr="003D53D2">
        <w:t>На оценочной стадии финансово-экономической экспертизы предложения участников закупочной процедуры, прошедших отборочную стадию, ранжируются между собой. В основе количественной меры для сравнения предложений участников в рамках финансово-экономической экспертизы, также используется первичный балл от 0 до 1, полученный в результате применения балльно-весового подхода. Все компании, набравшие более 0,45 баллов по шкале от 0 до 1 (по которым принято положительное решение на отборочной стадии) ранжируются с присвоением оценки по пятибалльной шкале от 0 до 5. Порядок перевода шкалы от 0 до 1 в шкалу от 0 до 5 установлен Методикой.</w:t>
      </w:r>
    </w:p>
    <w:p w:rsidR="00BF662A" w:rsidRPr="003D53D2" w:rsidRDefault="00BF662A" w:rsidP="00C242C7">
      <w:pPr>
        <w:numPr>
          <w:ilvl w:val="1"/>
          <w:numId w:val="24"/>
        </w:numPr>
        <w:ind w:left="0" w:firstLine="0"/>
        <w:jc w:val="both"/>
      </w:pPr>
      <w:r w:rsidRPr="003D53D2">
        <w:t>За Экспертом на оценочной стадии закрепляется право в отдельных случаях (см. таблицу Алгоритм принятия решения) повышать или понижать, если иное специально не оговорено в Методике, не более чем на 1 балл по пятибалльной шкале оценку, полученную автоматически.</w:t>
      </w:r>
    </w:p>
    <w:p w:rsidR="00BF662A" w:rsidRPr="003D53D2" w:rsidRDefault="00BF662A" w:rsidP="00C242C7">
      <w:pPr>
        <w:numPr>
          <w:ilvl w:val="1"/>
          <w:numId w:val="24"/>
        </w:numPr>
        <w:ind w:left="0" w:firstLine="0"/>
        <w:jc w:val="both"/>
      </w:pPr>
      <w:r w:rsidRPr="003D53D2">
        <w:t>С целью расширения доступа субъектов малого и среднего предпринимательства к участию в конкурентных закупочных процедура</w:t>
      </w:r>
      <w:r w:rsidR="00454A99">
        <w:t>х, организованных Обществом</w:t>
      </w:r>
      <w:r w:rsidRPr="003D53D2">
        <w:t>, когда для оказания услуги и/или осуществления поставки от участников закупочной процедуры не требуется наличие значительных финансовых и материально-технических ресурсов, допускается экспертно повышать оценку – а именно, для компаний субъектов малого и среднего предпринимательства, получивших оценку «не соответствует» или 0 (ноль) баллов по причине несоответствия масштабов деятельности участника начальной (максимальной) цене закупочной процедуры, разрешается экспертно повышать оценку до «соответствует», и допускать таких участников до оценочной стадии, итоговая оценка при этом не должна превышать 1 по пятибалльной шкале (минимально допустимый уровень). К таким случаям могут относиться конкурентные закупочные процедуры по перечисленным ниже</w:t>
      </w:r>
      <w:r w:rsidR="00454A99">
        <w:t xml:space="preserve"> статьям расходов Общества,</w:t>
      </w:r>
      <w:r w:rsidRPr="003D53D2">
        <w:t xml:space="preserve"> плановая стоимость закупки по которым не превышает </w:t>
      </w:r>
      <w:r w:rsidRPr="005F722C">
        <w:t>30</w:t>
      </w:r>
      <w:r w:rsidRPr="003D53D2">
        <w:t xml:space="preserve"> млн. рублей без НДС:</w:t>
      </w:r>
    </w:p>
    <w:p w:rsidR="00BF662A" w:rsidRPr="003D53D2" w:rsidRDefault="00BF662A" w:rsidP="00C242C7">
      <w:pPr>
        <w:numPr>
          <w:ilvl w:val="3"/>
          <w:numId w:val="23"/>
        </w:numPr>
        <w:ind w:left="0" w:firstLine="0"/>
        <w:jc w:val="both"/>
      </w:pPr>
      <w:r w:rsidRPr="003D53D2">
        <w:t>административно-хозяйственные расходы (поставки и услуги);</w:t>
      </w:r>
    </w:p>
    <w:p w:rsidR="00BF662A" w:rsidRPr="003D53D2" w:rsidRDefault="00BF662A" w:rsidP="00C242C7">
      <w:pPr>
        <w:numPr>
          <w:ilvl w:val="3"/>
          <w:numId w:val="23"/>
        </w:numPr>
        <w:ind w:left="0" w:firstLine="0"/>
        <w:jc w:val="both"/>
      </w:pPr>
      <w:r w:rsidRPr="003D53D2">
        <w:t>охрана (услуги);</w:t>
      </w:r>
    </w:p>
    <w:p w:rsidR="00BF662A" w:rsidRPr="003D53D2" w:rsidRDefault="00BF662A" w:rsidP="00C242C7">
      <w:pPr>
        <w:numPr>
          <w:ilvl w:val="3"/>
          <w:numId w:val="23"/>
        </w:numPr>
        <w:ind w:left="0" w:firstLine="0"/>
        <w:jc w:val="both"/>
      </w:pPr>
      <w:r w:rsidRPr="003D53D2">
        <w:t>консультационные и информационные расходы (поставки и услуги);</w:t>
      </w:r>
    </w:p>
    <w:p w:rsidR="00BF662A" w:rsidRPr="003D53D2" w:rsidRDefault="00BF662A" w:rsidP="00C242C7">
      <w:pPr>
        <w:numPr>
          <w:ilvl w:val="3"/>
          <w:numId w:val="23"/>
        </w:numPr>
        <w:ind w:left="0" w:firstLine="0"/>
        <w:jc w:val="both"/>
      </w:pPr>
      <w:r w:rsidRPr="003D53D2">
        <w:t>аудит и оценка (поставки и услуги);</w:t>
      </w:r>
    </w:p>
    <w:p w:rsidR="00BF662A" w:rsidRPr="003D53D2" w:rsidRDefault="00BF662A" w:rsidP="00C242C7">
      <w:pPr>
        <w:numPr>
          <w:ilvl w:val="3"/>
          <w:numId w:val="23"/>
        </w:numPr>
        <w:ind w:left="0" w:firstLine="0"/>
        <w:jc w:val="both"/>
      </w:pPr>
      <w:r w:rsidRPr="003D53D2">
        <w:t>юридические услуги (поставки и услуги);</w:t>
      </w:r>
    </w:p>
    <w:p w:rsidR="00BF662A" w:rsidRPr="003D53D2" w:rsidRDefault="00BF662A" w:rsidP="00C242C7">
      <w:pPr>
        <w:numPr>
          <w:ilvl w:val="3"/>
          <w:numId w:val="23"/>
        </w:numPr>
        <w:ind w:left="0" w:firstLine="0"/>
        <w:jc w:val="both"/>
      </w:pPr>
      <w:r w:rsidRPr="003D53D2">
        <w:t>корпоративное управление (поставки и услуги);</w:t>
      </w:r>
    </w:p>
    <w:p w:rsidR="00BF662A" w:rsidRPr="003D53D2" w:rsidRDefault="00BF662A" w:rsidP="00C242C7">
      <w:pPr>
        <w:numPr>
          <w:ilvl w:val="3"/>
          <w:numId w:val="23"/>
        </w:numPr>
        <w:ind w:left="0" w:firstLine="0"/>
        <w:jc w:val="both"/>
      </w:pPr>
      <w:r w:rsidRPr="003D53D2">
        <w:t>расходы на персонал (поставки и услуги);</w:t>
      </w:r>
    </w:p>
    <w:p w:rsidR="00BF662A" w:rsidRPr="003D53D2" w:rsidRDefault="00BF662A" w:rsidP="00C242C7">
      <w:pPr>
        <w:numPr>
          <w:ilvl w:val="3"/>
          <w:numId w:val="23"/>
        </w:numPr>
        <w:ind w:left="0" w:firstLine="0"/>
        <w:jc w:val="both"/>
      </w:pPr>
      <w:r w:rsidRPr="003D53D2">
        <w:t>реклама и маркетинг (поставки и услуги).</w:t>
      </w:r>
    </w:p>
    <w:p w:rsidR="00BF662A" w:rsidRPr="003D53D2" w:rsidRDefault="00BF662A" w:rsidP="00C242C7">
      <w:pPr>
        <w:numPr>
          <w:ilvl w:val="1"/>
          <w:numId w:val="24"/>
        </w:numPr>
        <w:ind w:left="0" w:firstLine="0"/>
        <w:jc w:val="both"/>
      </w:pPr>
      <w:r w:rsidRPr="003D53D2">
        <w:t>По результатам проведенной финансово-экономической экспертизы Эксперт по каждому участнику закупочной процедуры готовит при необходимости, обусловленной требованиями закупочной документации, экспертное заключение с указанием наиболее значимых факторов, повлиявших на итоговую оценку.</w:t>
      </w:r>
    </w:p>
    <w:p w:rsidR="00BF662A" w:rsidRPr="003D53D2" w:rsidRDefault="00BF662A" w:rsidP="00C242C7">
      <w:pPr>
        <w:numPr>
          <w:ilvl w:val="1"/>
          <w:numId w:val="24"/>
        </w:numPr>
        <w:ind w:left="0" w:firstLine="0"/>
        <w:jc w:val="both"/>
      </w:pPr>
      <w:r w:rsidRPr="003D53D2">
        <w:t xml:space="preserve">В случае </w:t>
      </w:r>
      <w:r w:rsidRPr="003D53D2">
        <w:rPr>
          <w:b/>
        </w:rPr>
        <w:t>если решение, принятое Экспертом в рамках финансово-экономической экспертизы, отличается от принятого автоматически</w:t>
      </w:r>
      <w:r w:rsidRPr="003D53D2">
        <w:t xml:space="preserve"> в рамках балльно-весового подхода, определенного настоящей Методикой, то </w:t>
      </w:r>
      <w:r w:rsidRPr="003D53D2">
        <w:rPr>
          <w:b/>
        </w:rPr>
        <w:t>формирование Экспертом письменного заключения</w:t>
      </w:r>
      <w:r w:rsidRPr="003D53D2">
        <w:t xml:space="preserve"> с указанием факторов, повлиявших на итоговую оценку, </w:t>
      </w:r>
      <w:r w:rsidRPr="003D53D2">
        <w:rPr>
          <w:b/>
        </w:rPr>
        <w:t>является обязательным</w:t>
      </w:r>
      <w:r w:rsidRPr="003D53D2">
        <w:t>.</w:t>
      </w:r>
    </w:p>
    <w:p w:rsidR="00BF662A" w:rsidRPr="003D53D2" w:rsidRDefault="00BF662A" w:rsidP="00C242C7">
      <w:pPr>
        <w:numPr>
          <w:ilvl w:val="1"/>
          <w:numId w:val="24"/>
        </w:numPr>
        <w:ind w:left="0" w:firstLine="0"/>
        <w:jc w:val="both"/>
      </w:pPr>
      <w:r w:rsidRPr="003D53D2">
        <w:t>В случае если компания, являющаяся участником конкурентной закупочной процедуры, входит в группу компаний, о которой достоверно известно, что данная группа обладает достаточной финансовой устойчивостью (что подтверждено международным кредитным рейтингом на уровне или выше BB- по шкале Fitch/S&amp;P или Ba3 по шкале Moody’s) допускается экспертно повышать</w:t>
      </w:r>
      <w:r w:rsidRPr="003D53D2">
        <w:rPr>
          <w:b/>
        </w:rPr>
        <w:t xml:space="preserve"> итоговую оценку участника закупочной процедуры более чем на 1 балл</w:t>
      </w:r>
      <w:r w:rsidRPr="003D53D2">
        <w:t xml:space="preserve"> по пятибалльной шкале. Итоговая оценка в случае применения такой корректировки не должна </w:t>
      </w:r>
      <w:r w:rsidRPr="003D53D2">
        <w:lastRenderedPageBreak/>
        <w:t>превышать трех баллов по пятибалльной шкале. Принадлежность участника к указанной группе подтверждается предоставлением консолидированной финансовой отчетности по МСФО за последний завершенный финансовый год;</w:t>
      </w:r>
    </w:p>
    <w:p w:rsidR="00BF662A" w:rsidRPr="003D53D2" w:rsidRDefault="00BF662A" w:rsidP="00C242C7">
      <w:pPr>
        <w:numPr>
          <w:ilvl w:val="1"/>
          <w:numId w:val="24"/>
        </w:numPr>
        <w:ind w:left="0" w:firstLine="0"/>
        <w:jc w:val="both"/>
      </w:pPr>
      <w:r w:rsidRPr="003D53D2">
        <w:t>Когда в качестве участника закупочной процедуры выступает консорциум, состоящий из двух или более различных компаний, либо при оказании услуг / осуществлении поставки планируется привлечение субподрядчика или нескольких субподрядчиков, итоговая оценка в рамках финансово-экономической экспертизы формируется как сумма оценок всех участников консорциума или основного участника и его субподрядчиков, взвешенная по планируемой доле их участия в соответствии с предоставленным планом распределения работ;</w:t>
      </w:r>
    </w:p>
    <w:p w:rsidR="00BF662A" w:rsidRPr="003D53D2" w:rsidRDefault="00BF662A" w:rsidP="00C242C7">
      <w:pPr>
        <w:jc w:val="right"/>
      </w:pPr>
      <w:r w:rsidRPr="003D53D2">
        <w:t>Таблица Алгоритм принятия решения</w:t>
      </w:r>
    </w:p>
    <w:tbl>
      <w:tblPr>
        <w:tblW w:w="10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24"/>
      </w:tblGrid>
      <w:tr w:rsidR="00BF662A" w:rsidRPr="003D53D2" w:rsidTr="00C242C7">
        <w:trPr>
          <w:trHeight w:val="503"/>
        </w:trPr>
        <w:tc>
          <w:tcPr>
            <w:tcW w:w="3828" w:type="dxa"/>
            <w:shd w:val="clear" w:color="auto" w:fill="auto"/>
            <w:vAlign w:val="center"/>
          </w:tcPr>
          <w:p w:rsidR="00BF662A" w:rsidRPr="003D53D2" w:rsidRDefault="00BF662A" w:rsidP="00C242C7">
            <w:pPr>
              <w:jc w:val="center"/>
              <w:rPr>
                <w:b/>
                <w:color w:val="000000"/>
              </w:rPr>
            </w:pPr>
            <w:r w:rsidRPr="003D53D2">
              <w:rPr>
                <w:b/>
                <w:color w:val="000000"/>
              </w:rPr>
              <w:t>Варианты автоматического решения</w:t>
            </w:r>
          </w:p>
        </w:tc>
        <w:tc>
          <w:tcPr>
            <w:tcW w:w="6224" w:type="dxa"/>
            <w:shd w:val="clear" w:color="auto" w:fill="auto"/>
            <w:vAlign w:val="center"/>
          </w:tcPr>
          <w:p w:rsidR="00BF662A" w:rsidRPr="003D53D2" w:rsidRDefault="00BF662A" w:rsidP="00C242C7">
            <w:pPr>
              <w:jc w:val="center"/>
              <w:rPr>
                <w:b/>
                <w:color w:val="000000"/>
              </w:rPr>
            </w:pPr>
            <w:r w:rsidRPr="003D53D2">
              <w:rPr>
                <w:b/>
                <w:color w:val="000000"/>
              </w:rPr>
              <w:t>Описание и действия Эксперта</w:t>
            </w:r>
          </w:p>
        </w:tc>
      </w:tr>
      <w:tr w:rsidR="00BF662A" w:rsidRPr="003D53D2" w:rsidTr="00C242C7">
        <w:trPr>
          <w:trHeight w:val="445"/>
        </w:trPr>
        <w:tc>
          <w:tcPr>
            <w:tcW w:w="3828" w:type="dxa"/>
            <w:shd w:val="clear" w:color="auto" w:fill="auto"/>
            <w:vAlign w:val="center"/>
          </w:tcPr>
          <w:p w:rsidR="00BF662A" w:rsidRPr="003D53D2" w:rsidRDefault="00BF662A" w:rsidP="00C242C7">
            <w:pPr>
              <w:rPr>
                <w:i/>
                <w:color w:val="000000"/>
              </w:rPr>
            </w:pPr>
            <w:r w:rsidRPr="003D53D2">
              <w:rPr>
                <w:i/>
                <w:color w:val="000000"/>
              </w:rPr>
              <w:t>Занести данные отчетности</w:t>
            </w:r>
          </w:p>
        </w:tc>
        <w:tc>
          <w:tcPr>
            <w:tcW w:w="6224" w:type="dxa"/>
            <w:shd w:val="clear" w:color="auto" w:fill="auto"/>
          </w:tcPr>
          <w:p w:rsidR="00BF662A" w:rsidRPr="003D53D2" w:rsidRDefault="00BF662A" w:rsidP="00C242C7">
            <w:pPr>
              <w:jc w:val="both"/>
              <w:rPr>
                <w:color w:val="000000"/>
              </w:rPr>
            </w:pPr>
            <w:r w:rsidRPr="003D53D2">
              <w:rPr>
                <w:color w:val="000000"/>
              </w:rPr>
              <w:t>Надпись возникает, когда не занесены данные бухгалтерской отчетности</w:t>
            </w:r>
          </w:p>
        </w:tc>
      </w:tr>
      <w:tr w:rsidR="00BF662A" w:rsidRPr="003D53D2" w:rsidTr="00C242C7">
        <w:trPr>
          <w:trHeight w:val="885"/>
        </w:trPr>
        <w:tc>
          <w:tcPr>
            <w:tcW w:w="3828" w:type="dxa"/>
            <w:shd w:val="clear" w:color="auto" w:fill="auto"/>
            <w:vAlign w:val="center"/>
          </w:tcPr>
          <w:p w:rsidR="00BF662A" w:rsidRPr="003D53D2" w:rsidRDefault="00BF662A" w:rsidP="00C242C7">
            <w:pPr>
              <w:rPr>
                <w:i/>
                <w:color w:val="000000"/>
              </w:rPr>
            </w:pPr>
            <w:r w:rsidRPr="003D53D2">
              <w:rPr>
                <w:i/>
                <w:color w:val="000000"/>
              </w:rPr>
              <w:t>Автоматическое принятие решения</w:t>
            </w:r>
          </w:p>
        </w:tc>
        <w:tc>
          <w:tcPr>
            <w:tcW w:w="6224" w:type="dxa"/>
            <w:shd w:val="clear" w:color="auto" w:fill="auto"/>
          </w:tcPr>
          <w:p w:rsidR="00BF662A" w:rsidRPr="003D53D2" w:rsidRDefault="00BF662A" w:rsidP="00C242C7">
            <w:pPr>
              <w:jc w:val="both"/>
              <w:rPr>
                <w:color w:val="000000"/>
              </w:rPr>
            </w:pPr>
            <w:r w:rsidRPr="003D53D2">
              <w:rPr>
                <w:color w:val="000000"/>
              </w:rPr>
              <w:t>Надпись возникает, когда данные бухгалтерской отчетности занесены в соответствующие ячейки шаблона (файл Excel), однако остальные обязательные для заполнения ячейки пусты (отсутствуют регистрационные данные, не указана начальная (максимальная) цена или не заполнено поле с суммой задолженности по начисленным налогам, сборам и иным обязательным платежам). Надпись также может возникнуть в случае, если не полностью или не верно проставлены галочки в полях, предусмотренных для качественной оценки бизнес-рисков</w:t>
            </w:r>
          </w:p>
        </w:tc>
      </w:tr>
      <w:tr w:rsidR="00BF662A" w:rsidRPr="003D53D2" w:rsidTr="00C242C7">
        <w:trPr>
          <w:trHeight w:val="870"/>
        </w:trPr>
        <w:tc>
          <w:tcPr>
            <w:tcW w:w="3828" w:type="dxa"/>
            <w:shd w:val="clear" w:color="000000" w:fill="FFE5E5"/>
            <w:vAlign w:val="center"/>
          </w:tcPr>
          <w:p w:rsidR="00BF662A" w:rsidRPr="003D53D2" w:rsidRDefault="00BF662A" w:rsidP="00C242C7">
            <w:pPr>
              <w:rPr>
                <w:i/>
                <w:color w:val="000000"/>
              </w:rPr>
            </w:pPr>
            <w:r w:rsidRPr="003D53D2">
              <w:rPr>
                <w:i/>
                <w:color w:val="000000"/>
              </w:rPr>
              <w:t>Не соответствует (0)</w:t>
            </w:r>
          </w:p>
        </w:tc>
        <w:tc>
          <w:tcPr>
            <w:tcW w:w="6224" w:type="dxa"/>
            <w:shd w:val="clear" w:color="000000" w:fill="FFE5E5"/>
          </w:tcPr>
          <w:p w:rsidR="00BF662A" w:rsidRPr="003D53D2" w:rsidRDefault="00BF662A" w:rsidP="00C242C7">
            <w:pPr>
              <w:jc w:val="both"/>
              <w:rPr>
                <w:color w:val="000000"/>
              </w:rPr>
            </w:pPr>
            <w:r w:rsidRPr="003D53D2">
              <w:rPr>
                <w:color w:val="000000"/>
              </w:rPr>
              <w:t>Такое автоматическое решение возникает в ситуации, когда компания-участница закупочной процедуры, будучи оценена согласно балльно-весового подхода, набирает менее 0,45 баллов по шкале от 0 до 1.</w:t>
            </w:r>
          </w:p>
          <w:p w:rsidR="00BF662A" w:rsidRPr="003D53D2" w:rsidRDefault="00BF662A" w:rsidP="00C242C7">
            <w:pPr>
              <w:jc w:val="both"/>
              <w:rPr>
                <w:i/>
                <w:color w:val="000000"/>
              </w:rPr>
            </w:pPr>
            <w:r w:rsidRPr="003D53D2">
              <w:rPr>
                <w:b/>
                <w:i/>
                <w:color w:val="000000"/>
              </w:rPr>
              <w:t xml:space="preserve">Действия Эксперта: </w:t>
            </w:r>
            <w:r w:rsidRPr="003D53D2">
              <w:rPr>
                <w:i/>
                <w:color w:val="000000"/>
              </w:rPr>
              <w:t>Эксперт либо подтверждает автоматически выставленную оценку о несоответствии с присвоением участнику закупочной процедуры оценки 0 по пятибалльной шкале, либо, в случае если имеется достаточное основание, предоставив необходимое обоснование, повышает оценку до «Соответствует», при этом оценка по пятибалльной шкале, если иное специально не оговорено в Методике, на оценочной стадии не должна превышать 1 (минимально допустимый уровень)</w:t>
            </w:r>
          </w:p>
        </w:tc>
      </w:tr>
      <w:tr w:rsidR="00BF662A" w:rsidRPr="003D53D2" w:rsidTr="00C242C7">
        <w:trPr>
          <w:trHeight w:val="850"/>
        </w:trPr>
        <w:tc>
          <w:tcPr>
            <w:tcW w:w="3828" w:type="dxa"/>
            <w:shd w:val="clear" w:color="000000" w:fill="FFE5E5"/>
            <w:vAlign w:val="center"/>
          </w:tcPr>
          <w:p w:rsidR="00BF662A" w:rsidRPr="003D53D2" w:rsidRDefault="00BF662A" w:rsidP="00C242C7">
            <w:pPr>
              <w:rPr>
                <w:i/>
                <w:color w:val="000000"/>
              </w:rPr>
            </w:pPr>
            <w:r w:rsidRPr="003D53D2">
              <w:rPr>
                <w:i/>
                <w:color w:val="000000"/>
              </w:rPr>
              <w:t>Не соответствует (0) имеются стоп-факторы</w:t>
            </w:r>
          </w:p>
        </w:tc>
        <w:tc>
          <w:tcPr>
            <w:tcW w:w="6224" w:type="dxa"/>
            <w:shd w:val="clear" w:color="000000" w:fill="FFE5E5"/>
          </w:tcPr>
          <w:p w:rsidR="00BF662A" w:rsidRPr="003D53D2" w:rsidRDefault="00BF662A" w:rsidP="00C242C7">
            <w:pPr>
              <w:jc w:val="both"/>
              <w:rPr>
                <w:color w:val="000000"/>
              </w:rPr>
            </w:pPr>
            <w:r w:rsidRPr="003D53D2">
              <w:rPr>
                <w:color w:val="000000"/>
              </w:rPr>
              <w:t>Надпись возникает, когда независимо от набранного количества баллов по шкале от 0 до 1 для оцениваемой компании реализуется хотя бы один из стоп-факторов</w:t>
            </w:r>
          </w:p>
          <w:p w:rsidR="00BF662A" w:rsidRPr="003D53D2" w:rsidRDefault="00BF662A" w:rsidP="00C242C7">
            <w:pPr>
              <w:jc w:val="both"/>
              <w:rPr>
                <w:color w:val="000000"/>
              </w:rPr>
            </w:pPr>
            <w:r w:rsidRPr="003D53D2">
              <w:rPr>
                <w:b/>
                <w:i/>
                <w:color w:val="000000"/>
              </w:rPr>
              <w:t xml:space="preserve">Действия Эксперта: </w:t>
            </w:r>
            <w:r w:rsidRPr="003D53D2">
              <w:rPr>
                <w:i/>
                <w:color w:val="000000"/>
              </w:rPr>
              <w:t xml:space="preserve">Эксперт либо подтверждает автоматически выставленную оценку о несоответствии с присвоением участнику закупочной процедуры оценки 0 по пятибалльной шкале, либо, в случае если имеется достаточное основание, предоставив необходимое обоснование, повышает оценку до «Соответствует», </w:t>
            </w:r>
            <w:r w:rsidRPr="003D53D2">
              <w:rPr>
                <w:i/>
                <w:color w:val="000000"/>
              </w:rPr>
              <w:lastRenderedPageBreak/>
              <w:t>при этом оценка по пятибалльной шкале, если иное специально не оговорено в Методике, на оценочной стадии не должна превышать 1 (минимально допустимый уровень)</w:t>
            </w:r>
          </w:p>
        </w:tc>
      </w:tr>
      <w:tr w:rsidR="00BF662A" w:rsidRPr="003D53D2" w:rsidTr="00C242C7">
        <w:trPr>
          <w:trHeight w:val="765"/>
        </w:trPr>
        <w:tc>
          <w:tcPr>
            <w:tcW w:w="3828" w:type="dxa"/>
            <w:shd w:val="clear" w:color="000000" w:fill="F8FFB9"/>
            <w:vAlign w:val="center"/>
          </w:tcPr>
          <w:p w:rsidR="00BF662A" w:rsidRPr="003D53D2" w:rsidRDefault="00BF662A" w:rsidP="00C242C7">
            <w:pPr>
              <w:rPr>
                <w:i/>
                <w:color w:val="000000"/>
              </w:rPr>
            </w:pPr>
            <w:r w:rsidRPr="003D53D2">
              <w:rPr>
                <w:i/>
                <w:color w:val="000000"/>
              </w:rPr>
              <w:lastRenderedPageBreak/>
              <w:t>Необходимо участие эксперта (0)</w:t>
            </w:r>
          </w:p>
          <w:p w:rsidR="00BF662A" w:rsidRPr="003D53D2" w:rsidRDefault="00BF662A" w:rsidP="00C242C7">
            <w:pPr>
              <w:rPr>
                <w:i/>
                <w:color w:val="000000"/>
              </w:rPr>
            </w:pPr>
          </w:p>
          <w:p w:rsidR="00BF662A" w:rsidRPr="003D53D2" w:rsidRDefault="00BF662A" w:rsidP="00C242C7">
            <w:pPr>
              <w:rPr>
                <w:i/>
                <w:color w:val="000000"/>
              </w:rPr>
            </w:pPr>
            <w:r w:rsidRPr="003D53D2">
              <w:rPr>
                <w:i/>
                <w:color w:val="000000"/>
              </w:rPr>
              <w:t>Необходимо участие эксперта (0) имеются риск-факторы</w:t>
            </w:r>
          </w:p>
        </w:tc>
        <w:tc>
          <w:tcPr>
            <w:tcW w:w="6224" w:type="dxa"/>
            <w:shd w:val="clear" w:color="000000" w:fill="F8FFB9"/>
          </w:tcPr>
          <w:p w:rsidR="00BF662A" w:rsidRPr="003D53D2" w:rsidRDefault="00BF662A" w:rsidP="00C242C7">
            <w:pPr>
              <w:jc w:val="both"/>
              <w:rPr>
                <w:color w:val="000000"/>
              </w:rPr>
            </w:pPr>
            <w:r w:rsidRPr="003D53D2">
              <w:rPr>
                <w:color w:val="000000"/>
              </w:rPr>
              <w:t>Такое автоматическое решение соответствует ситуации, когда компания-участница закупочной процедуры набирает от 0,45 до 0,5 баллов по шкале от 0 до 1 (пограничная ситуация). При этом имеется не более двух риск-факторов.</w:t>
            </w:r>
          </w:p>
          <w:p w:rsidR="00BF662A" w:rsidRPr="003D53D2" w:rsidRDefault="00BF662A" w:rsidP="00C242C7">
            <w:pPr>
              <w:jc w:val="both"/>
              <w:rPr>
                <w:i/>
                <w:color w:val="000000"/>
              </w:rPr>
            </w:pPr>
            <w:r w:rsidRPr="003D53D2">
              <w:rPr>
                <w:b/>
                <w:i/>
                <w:color w:val="000000"/>
              </w:rPr>
              <w:t xml:space="preserve">Действия Эксперта: </w:t>
            </w:r>
            <w:r w:rsidRPr="003D53D2">
              <w:rPr>
                <w:i/>
                <w:color w:val="000000"/>
              </w:rPr>
              <w:t>на отборочной стадии</w:t>
            </w:r>
            <w:r w:rsidRPr="003D53D2">
              <w:rPr>
                <w:b/>
                <w:i/>
                <w:color w:val="000000"/>
              </w:rPr>
              <w:t xml:space="preserve"> </w:t>
            </w:r>
            <w:r w:rsidRPr="003D53D2">
              <w:rPr>
                <w:i/>
                <w:color w:val="000000"/>
              </w:rPr>
              <w:t>в пограничной ситуации</w:t>
            </w:r>
            <w:r w:rsidRPr="003D53D2">
              <w:rPr>
                <w:b/>
                <w:i/>
                <w:color w:val="000000"/>
              </w:rPr>
              <w:t xml:space="preserve"> </w:t>
            </w:r>
            <w:r w:rsidRPr="003D53D2">
              <w:rPr>
                <w:i/>
                <w:color w:val="000000"/>
              </w:rPr>
              <w:t>Эксперт принимает решение о соответствии/несоответствии, при этом в случае допуска участника процедуры до оценочной стадии Эксперт должен предоставить необходимое обоснование, а итоговая оценка на оценочной стадии не должна превышать 1 по пятибалльной шкале, если иное специально не оговорено в Методике (минимально допустимый уровень)</w:t>
            </w:r>
          </w:p>
        </w:tc>
      </w:tr>
      <w:tr w:rsidR="00BF662A" w:rsidRPr="003D53D2" w:rsidTr="00C242C7">
        <w:trPr>
          <w:trHeight w:val="712"/>
        </w:trPr>
        <w:tc>
          <w:tcPr>
            <w:tcW w:w="3828" w:type="dxa"/>
            <w:shd w:val="clear" w:color="000000" w:fill="F8FFB9"/>
            <w:vAlign w:val="center"/>
          </w:tcPr>
          <w:p w:rsidR="00BF662A" w:rsidRPr="003D53D2" w:rsidRDefault="00BF662A" w:rsidP="00C242C7">
            <w:pPr>
              <w:rPr>
                <w:i/>
                <w:color w:val="000000"/>
              </w:rPr>
            </w:pPr>
            <w:r w:rsidRPr="003D53D2">
              <w:rPr>
                <w:i/>
                <w:color w:val="000000"/>
              </w:rPr>
              <w:t>Необходимо участие эксперта (оценка 1-5) более двух риск факторов</w:t>
            </w:r>
          </w:p>
        </w:tc>
        <w:tc>
          <w:tcPr>
            <w:tcW w:w="6224" w:type="dxa"/>
            <w:shd w:val="clear" w:color="000000" w:fill="F8FFB9"/>
          </w:tcPr>
          <w:p w:rsidR="00BF662A" w:rsidRPr="003D53D2" w:rsidRDefault="00BF662A" w:rsidP="00C242C7">
            <w:pPr>
              <w:jc w:val="both"/>
              <w:rPr>
                <w:color w:val="000000"/>
              </w:rPr>
            </w:pPr>
            <w:r w:rsidRPr="003D53D2">
              <w:rPr>
                <w:color w:val="000000"/>
              </w:rPr>
              <w:t>Надпись возникает, когда независимо от набранного количества баллов по шкале от 0 до 1 для оцениваемой компании реализуется более двух риск факторов</w:t>
            </w:r>
          </w:p>
          <w:p w:rsidR="00BF662A" w:rsidRPr="003D53D2" w:rsidRDefault="00BF662A" w:rsidP="00C242C7">
            <w:pPr>
              <w:jc w:val="both"/>
              <w:rPr>
                <w:color w:val="000000"/>
              </w:rPr>
            </w:pPr>
            <w:r w:rsidRPr="003D53D2">
              <w:rPr>
                <w:b/>
                <w:i/>
                <w:color w:val="000000"/>
              </w:rPr>
              <w:t xml:space="preserve">Действия Эксперта: </w:t>
            </w:r>
            <w:r w:rsidRPr="003D53D2">
              <w:rPr>
                <w:i/>
                <w:color w:val="000000"/>
              </w:rPr>
              <w:t>в случае большого количества (более двух) риск-факторов Эксперт принимает решение о соответствии/несоответствии, при этом в случае допуска участника процедуры до оценочной стадии Эксперт должен предоставить необходимое обоснование, а итоговая оценка на оценочной стадии, если иное специально не оговорено в Методике, не должна превышать 1 по пятибалльной шкале (минимально допустимый уровень)</w:t>
            </w:r>
          </w:p>
        </w:tc>
      </w:tr>
      <w:tr w:rsidR="00BF662A" w:rsidRPr="003D53D2" w:rsidTr="00C242C7">
        <w:trPr>
          <w:trHeight w:val="2440"/>
        </w:trPr>
        <w:tc>
          <w:tcPr>
            <w:tcW w:w="3828" w:type="dxa"/>
            <w:shd w:val="clear" w:color="000000" w:fill="C6FED1"/>
            <w:vAlign w:val="center"/>
          </w:tcPr>
          <w:p w:rsidR="00BF662A" w:rsidRPr="003D53D2" w:rsidRDefault="00BF662A" w:rsidP="00C242C7">
            <w:pPr>
              <w:rPr>
                <w:i/>
                <w:color w:val="000000"/>
              </w:rPr>
            </w:pPr>
            <w:r w:rsidRPr="003D53D2">
              <w:rPr>
                <w:i/>
                <w:color w:val="000000"/>
              </w:rPr>
              <w:t>Соответствует (оценка 1-5) имеются риск-факторы</w:t>
            </w:r>
          </w:p>
          <w:p w:rsidR="00BF662A" w:rsidRPr="003D53D2" w:rsidRDefault="00BF662A" w:rsidP="00C242C7">
            <w:pPr>
              <w:rPr>
                <w:i/>
                <w:color w:val="000000"/>
              </w:rPr>
            </w:pPr>
          </w:p>
          <w:p w:rsidR="00BF662A" w:rsidRPr="003D53D2" w:rsidRDefault="00BF662A" w:rsidP="00C242C7">
            <w:pPr>
              <w:rPr>
                <w:i/>
                <w:color w:val="000000"/>
              </w:rPr>
            </w:pPr>
            <w:r w:rsidRPr="003D53D2">
              <w:rPr>
                <w:i/>
                <w:color w:val="000000"/>
              </w:rPr>
              <w:t>Соответствует (оценка 1-5)</w:t>
            </w:r>
          </w:p>
        </w:tc>
        <w:tc>
          <w:tcPr>
            <w:tcW w:w="6224" w:type="dxa"/>
            <w:shd w:val="clear" w:color="000000" w:fill="C6FED1"/>
          </w:tcPr>
          <w:p w:rsidR="00BF662A" w:rsidRPr="003D53D2" w:rsidRDefault="00BF662A" w:rsidP="00C242C7">
            <w:pPr>
              <w:jc w:val="both"/>
              <w:rPr>
                <w:color w:val="000000"/>
              </w:rPr>
            </w:pPr>
            <w:r w:rsidRPr="003D53D2">
              <w:rPr>
                <w:color w:val="000000"/>
              </w:rPr>
              <w:t>Компания-участница закупочной процедуры набирает более 0,5 баллов по шкале от 0 до 1. При этом имеется не более двух риск-факторов. Далее все компании, набравшие более 0,5 баллов по шкале от 0 до 1 (по которым принято положительное решение на отборочной стадии) ранжируются с присвоением оценки по пятибалльной шкале от 1 до 5. В настоящей методике ранжир осуществляется равномерным переводом первичной шкалы от 0,5 до 1 в шкалу от 1 до 5.</w:t>
            </w:r>
          </w:p>
          <w:p w:rsidR="00BF662A" w:rsidRPr="003D53D2" w:rsidRDefault="00BF662A" w:rsidP="00C242C7">
            <w:pPr>
              <w:jc w:val="both"/>
              <w:rPr>
                <w:color w:val="000000"/>
              </w:rPr>
            </w:pPr>
            <w:r w:rsidRPr="003D53D2">
              <w:rPr>
                <w:b/>
                <w:i/>
                <w:color w:val="000000"/>
              </w:rPr>
              <w:t xml:space="preserve">Действия Эксперта: </w:t>
            </w:r>
            <w:r w:rsidRPr="003D53D2">
              <w:rPr>
                <w:i/>
                <w:color w:val="000000"/>
              </w:rPr>
              <w:t>в такой ситуации на отборочной стадии Эксперт не может изменить автоматически принятое решение о соответствии, однако за ним остается право при необходимости скорректировать итоговую оценку не более чем на 1 балл по пятибалльной шкале, при условии, что с учетом корректировки итоговая оценка будет находиться в пределах от 1 до 5</w:t>
            </w:r>
          </w:p>
        </w:tc>
      </w:tr>
    </w:tbl>
    <w:p w:rsidR="00AF7DDD" w:rsidRPr="00534B00" w:rsidRDefault="00AF7DDD" w:rsidP="00C242C7">
      <w:pPr>
        <w:jc w:val="both"/>
        <w:rPr>
          <w:rStyle w:val="10"/>
        </w:rPr>
      </w:pPr>
    </w:p>
    <w:p w:rsidR="00BF662A" w:rsidRPr="003D53D2" w:rsidRDefault="00BF662A" w:rsidP="00C242C7">
      <w:pPr>
        <w:numPr>
          <w:ilvl w:val="0"/>
          <w:numId w:val="24"/>
        </w:numPr>
        <w:ind w:left="0" w:firstLine="0"/>
        <w:jc w:val="both"/>
        <w:rPr>
          <w:b/>
          <w:bCs/>
        </w:rPr>
      </w:pPr>
      <w:r w:rsidRPr="003D53D2">
        <w:rPr>
          <w:b/>
          <w:bCs/>
        </w:rPr>
        <w:lastRenderedPageBreak/>
        <w:t>Проведение финансово-экономической экспертизы участников закупочных процедур, применяющих упрощенную систему налогообложения (УСН) и индивидуальных предпринимателей</w:t>
      </w:r>
    </w:p>
    <w:p w:rsidR="00BF662A" w:rsidRPr="003D53D2" w:rsidRDefault="00BF662A" w:rsidP="00C242C7">
      <w:pPr>
        <w:numPr>
          <w:ilvl w:val="1"/>
          <w:numId w:val="24"/>
        </w:numPr>
        <w:ind w:left="0" w:firstLine="0"/>
        <w:jc w:val="both"/>
        <w:rPr>
          <w:bCs/>
        </w:rPr>
      </w:pPr>
      <w:r w:rsidRPr="003D53D2">
        <w:rPr>
          <w:bCs/>
        </w:rPr>
        <w:t>В случае если в соответствии с требованиями государственных нормативных документов, участники конкурентных закупочных процедур, применяющие упрощенную систему налогообложения, обязаны формировать бухгалтерскую отчетность (в формате ф.1 и ф.2,, специально предусмотренном для субъектов малого предпринимательства) экспертиза финансово-экономической устойчивости участников должна проводиться на основании этой отчетности в соответствии с Методикой.</w:t>
      </w:r>
    </w:p>
    <w:p w:rsidR="00BF662A" w:rsidRPr="003D53D2" w:rsidRDefault="00BF662A" w:rsidP="00C242C7">
      <w:pPr>
        <w:numPr>
          <w:ilvl w:val="1"/>
          <w:numId w:val="24"/>
        </w:numPr>
        <w:ind w:left="0" w:firstLine="0"/>
        <w:jc w:val="both"/>
        <w:rPr>
          <w:bCs/>
        </w:rPr>
      </w:pPr>
      <w:r w:rsidRPr="003D53D2">
        <w:rPr>
          <w:bCs/>
        </w:rPr>
        <w:t>В случае если подготовка и подача в налоговый орган бухгалтерской отчетности в соответствие с формой № 1 (бухгалтерский баланс) и формой № 2 (отчет о прибылях и убытках) не является обязательной для компаний, применяющих упрощенную систему налогообложения, или индивидуальных предпринимателей, то для них невозможно рассчитать финансовые коэффициенты и провести объемлющий анализ финансовой устойчивости - оценка таких компаний в рамках проведения финансово-экономической экспертизы осуществляется экспертно с учетом п.п. 4.3.-4.5.</w:t>
      </w:r>
    </w:p>
    <w:p w:rsidR="00BF662A" w:rsidRPr="003D53D2" w:rsidRDefault="00BF662A" w:rsidP="00C242C7">
      <w:pPr>
        <w:numPr>
          <w:ilvl w:val="1"/>
          <w:numId w:val="24"/>
        </w:numPr>
        <w:ind w:left="0" w:firstLine="0"/>
        <w:jc w:val="both"/>
        <w:rPr>
          <w:bCs/>
        </w:rPr>
      </w:pPr>
      <w:r w:rsidRPr="003D53D2">
        <w:rPr>
          <w:bCs/>
        </w:rPr>
        <w:t>Решение о прохождении компанией, применяющей УСН (в условиях отсутствия бухгалтерской отчетности) или индивидуального предпринимателя, отборочной стадии может быть принято только при одновременном выполнении следующих критериев:</w:t>
      </w:r>
    </w:p>
    <w:p w:rsidR="00BF662A" w:rsidRPr="003D53D2" w:rsidRDefault="00BF662A" w:rsidP="00C242C7">
      <w:pPr>
        <w:numPr>
          <w:ilvl w:val="0"/>
          <w:numId w:val="21"/>
        </w:numPr>
        <w:ind w:left="0" w:firstLine="0"/>
        <w:jc w:val="both"/>
        <w:rPr>
          <w:bCs/>
        </w:rPr>
      </w:pPr>
      <w:r w:rsidRPr="003D53D2">
        <w:rPr>
          <w:bCs/>
        </w:rPr>
        <w:t xml:space="preserve">срок существования не менее </w:t>
      </w:r>
      <w:r w:rsidR="005F722C" w:rsidRPr="005F722C">
        <w:rPr>
          <w:bCs/>
        </w:rPr>
        <w:t>3</w:t>
      </w:r>
      <w:r w:rsidRPr="003D53D2">
        <w:rPr>
          <w:bCs/>
        </w:rPr>
        <w:t xml:space="preserve"> лет;</w:t>
      </w:r>
    </w:p>
    <w:p w:rsidR="00BF662A" w:rsidRPr="003D53D2" w:rsidRDefault="00BF662A" w:rsidP="00C242C7">
      <w:pPr>
        <w:numPr>
          <w:ilvl w:val="0"/>
          <w:numId w:val="21"/>
        </w:numPr>
        <w:ind w:left="0" w:firstLine="0"/>
        <w:jc w:val="both"/>
        <w:rPr>
          <w:bCs/>
        </w:rPr>
      </w:pPr>
      <w:r w:rsidRPr="003D53D2">
        <w:rPr>
          <w:bCs/>
        </w:rPr>
        <w:t>вид деятельности участника закупочной процедуры по классификации ОКВЭД совпадает с предметом закупки;</w:t>
      </w:r>
    </w:p>
    <w:p w:rsidR="00BF662A" w:rsidRPr="003D53D2" w:rsidRDefault="00BF662A" w:rsidP="00C242C7">
      <w:pPr>
        <w:numPr>
          <w:ilvl w:val="0"/>
          <w:numId w:val="21"/>
        </w:numPr>
        <w:ind w:left="0" w:firstLine="0"/>
        <w:jc w:val="both"/>
        <w:rPr>
          <w:bCs/>
        </w:rPr>
      </w:pPr>
      <w:r w:rsidRPr="003D53D2">
        <w:rPr>
          <w:bCs/>
        </w:rPr>
        <w:t>компания имеет необходимые материально-технические и кадровые ресурсы (согласно предоставленным справкам);</w:t>
      </w:r>
    </w:p>
    <w:p w:rsidR="00BF662A" w:rsidRPr="003D53D2" w:rsidRDefault="00BF662A" w:rsidP="00C242C7">
      <w:pPr>
        <w:numPr>
          <w:ilvl w:val="0"/>
          <w:numId w:val="21"/>
        </w:numPr>
        <w:ind w:left="0" w:firstLine="0"/>
        <w:jc w:val="both"/>
        <w:rPr>
          <w:bCs/>
        </w:rPr>
      </w:pPr>
      <w:r w:rsidRPr="003D53D2">
        <w:rPr>
          <w:bCs/>
        </w:rPr>
        <w:t xml:space="preserve">начальная (максимальная) цена без НДС не превышает </w:t>
      </w:r>
      <w:r w:rsidRPr="00714BE5">
        <w:rPr>
          <w:bCs/>
        </w:rPr>
        <w:t>140</w:t>
      </w:r>
      <w:r w:rsidRPr="003D53D2">
        <w:rPr>
          <w:bCs/>
        </w:rPr>
        <w:t>% годового дохода (согласно налоговой декларации);</w:t>
      </w:r>
    </w:p>
    <w:p w:rsidR="00BF662A" w:rsidRPr="003D53D2" w:rsidRDefault="00BF662A" w:rsidP="00C242C7">
      <w:pPr>
        <w:numPr>
          <w:ilvl w:val="0"/>
          <w:numId w:val="21"/>
        </w:numPr>
        <w:ind w:left="0" w:firstLine="0"/>
        <w:jc w:val="both"/>
        <w:rPr>
          <w:bCs/>
        </w:rPr>
      </w:pPr>
      <w:r w:rsidRPr="003D53D2">
        <w:rPr>
          <w:bCs/>
        </w:rPr>
        <w:t xml:space="preserve">отсутствует </w:t>
      </w:r>
      <w:r w:rsidRPr="003D53D2">
        <w:t>задолженность по начисленным налогам, сборам и иным обязательным платежам</w:t>
      </w:r>
    </w:p>
    <w:p w:rsidR="00BF662A" w:rsidRPr="003D53D2" w:rsidRDefault="00BF662A" w:rsidP="00C242C7">
      <w:pPr>
        <w:numPr>
          <w:ilvl w:val="0"/>
          <w:numId w:val="21"/>
        </w:numPr>
        <w:ind w:left="0" w:firstLine="0"/>
        <w:jc w:val="both"/>
        <w:rPr>
          <w:bCs/>
        </w:rPr>
      </w:pPr>
      <w:r w:rsidRPr="003D53D2">
        <w:rPr>
          <w:bCs/>
        </w:rPr>
        <w:t>финансовые условия сделки не предусматривают выплату аванса, не покрытого банковской гарантией.</w:t>
      </w:r>
    </w:p>
    <w:p w:rsidR="00BF662A" w:rsidRPr="003D53D2" w:rsidRDefault="00BF662A" w:rsidP="00C242C7">
      <w:pPr>
        <w:numPr>
          <w:ilvl w:val="1"/>
          <w:numId w:val="24"/>
        </w:numPr>
        <w:ind w:left="0" w:firstLine="0"/>
        <w:jc w:val="both"/>
      </w:pPr>
      <w:r w:rsidRPr="003D53D2">
        <w:rPr>
          <w:bCs/>
        </w:rPr>
        <w:t>За исключением случаев, описанных ниже в п. 4.5. несоответствие хотя бы по одному из перечисленных выше критериев должно являться основанием для отклонения предложения участника закупочной процедуры, применяющего УСН (в условиях отсутствия бухгалтерской отчетности) или индивидуального предпринимателя, на отборочной стадии.</w:t>
      </w:r>
    </w:p>
    <w:p w:rsidR="00BF662A" w:rsidRPr="003D53D2" w:rsidRDefault="00BF662A" w:rsidP="00C242C7">
      <w:pPr>
        <w:numPr>
          <w:ilvl w:val="1"/>
          <w:numId w:val="24"/>
        </w:numPr>
        <w:ind w:left="0" w:firstLine="0"/>
        <w:jc w:val="both"/>
      </w:pPr>
      <w:r w:rsidRPr="003D53D2">
        <w:t>С целью расширения доступа компаний, применяющих упрощенную систему налогообложения (УСН) и индивидуальных предпринимателей к участию в конкурентных закупочных процедура</w:t>
      </w:r>
      <w:r w:rsidR="00454A99">
        <w:t>х, организованных Обществом</w:t>
      </w:r>
      <w:r w:rsidRPr="003D53D2">
        <w:t>, в случаях, когда не выполнен только критерий соответствия масштабов деятельности участника стоимости планируемой закупки, и при этом все остальные критерии выполнены, включая отсутствие аванса, разрешается для ограниченного перечня конкурентных закупочных процедур экспертно допускать участников до оценочной стадии. Итоговая оценка при этом не должна превышать 1 по пятибалльной шкале (минимально допустимый уровень). Перечень конкурентных закупочных процедур для которых применимы положения настоящего пункта ограничивается закупочными процедурами по перечисленным ниж</w:t>
      </w:r>
      <w:r w:rsidR="00454A99">
        <w:t>е статьям расходов Общества</w:t>
      </w:r>
      <w:r w:rsidR="000F62B0">
        <w:t xml:space="preserve">, </w:t>
      </w:r>
      <w:r w:rsidRPr="003D53D2">
        <w:t xml:space="preserve">плановая стоимость закупки по которым не превышает </w:t>
      </w:r>
      <w:r w:rsidRPr="005F722C">
        <w:t>30</w:t>
      </w:r>
      <w:r w:rsidRPr="003D53D2">
        <w:t xml:space="preserve"> млн. рублей без НДС:</w:t>
      </w:r>
    </w:p>
    <w:p w:rsidR="00BF662A" w:rsidRPr="003D53D2" w:rsidRDefault="00BF662A" w:rsidP="00C242C7">
      <w:pPr>
        <w:numPr>
          <w:ilvl w:val="3"/>
          <w:numId w:val="23"/>
        </w:numPr>
        <w:ind w:left="0" w:firstLine="0"/>
        <w:jc w:val="both"/>
      </w:pPr>
      <w:r w:rsidRPr="003D53D2">
        <w:t>административно-хозяйственные расходы (поставки и услуги);</w:t>
      </w:r>
    </w:p>
    <w:p w:rsidR="00BF662A" w:rsidRPr="003D53D2" w:rsidRDefault="00BF662A" w:rsidP="00C242C7">
      <w:pPr>
        <w:numPr>
          <w:ilvl w:val="3"/>
          <w:numId w:val="23"/>
        </w:numPr>
        <w:ind w:left="0" w:firstLine="0"/>
        <w:jc w:val="both"/>
      </w:pPr>
      <w:r w:rsidRPr="003D53D2">
        <w:t>охрана (услуги);</w:t>
      </w:r>
    </w:p>
    <w:p w:rsidR="00BF662A" w:rsidRPr="003D53D2" w:rsidRDefault="00BF662A" w:rsidP="00C242C7">
      <w:pPr>
        <w:numPr>
          <w:ilvl w:val="3"/>
          <w:numId w:val="23"/>
        </w:numPr>
        <w:ind w:left="0" w:firstLine="0"/>
        <w:jc w:val="both"/>
      </w:pPr>
      <w:r w:rsidRPr="003D53D2">
        <w:t>консультационные и информационные расходы (поставки и услуги);</w:t>
      </w:r>
    </w:p>
    <w:p w:rsidR="00BF662A" w:rsidRPr="003D53D2" w:rsidRDefault="00BF662A" w:rsidP="00C242C7">
      <w:pPr>
        <w:numPr>
          <w:ilvl w:val="3"/>
          <w:numId w:val="23"/>
        </w:numPr>
        <w:ind w:left="0" w:firstLine="0"/>
        <w:jc w:val="both"/>
      </w:pPr>
      <w:r w:rsidRPr="003D53D2">
        <w:lastRenderedPageBreak/>
        <w:t>аудит и оценка (поставки и услуги);</w:t>
      </w:r>
    </w:p>
    <w:p w:rsidR="00BF662A" w:rsidRPr="003D53D2" w:rsidRDefault="00BF662A" w:rsidP="00C242C7">
      <w:pPr>
        <w:numPr>
          <w:ilvl w:val="3"/>
          <w:numId w:val="23"/>
        </w:numPr>
        <w:ind w:left="0" w:firstLine="0"/>
        <w:jc w:val="both"/>
      </w:pPr>
      <w:r w:rsidRPr="003D53D2">
        <w:t>юридические услуги (поставки и услуги);</w:t>
      </w:r>
    </w:p>
    <w:p w:rsidR="00BF662A" w:rsidRPr="003D53D2" w:rsidRDefault="00BF662A" w:rsidP="00C242C7">
      <w:pPr>
        <w:numPr>
          <w:ilvl w:val="3"/>
          <w:numId w:val="23"/>
        </w:numPr>
        <w:ind w:left="0" w:firstLine="0"/>
        <w:jc w:val="both"/>
      </w:pPr>
      <w:r w:rsidRPr="003D53D2">
        <w:t>корпоративное управление (поставки и услуги);</w:t>
      </w:r>
    </w:p>
    <w:p w:rsidR="00BF662A" w:rsidRPr="003D53D2" w:rsidRDefault="00BF662A" w:rsidP="00C242C7">
      <w:pPr>
        <w:numPr>
          <w:ilvl w:val="3"/>
          <w:numId w:val="23"/>
        </w:numPr>
        <w:ind w:left="0" w:firstLine="0"/>
        <w:jc w:val="both"/>
      </w:pPr>
      <w:r w:rsidRPr="003D53D2">
        <w:t>расходы на персонал (поставки и услуги);</w:t>
      </w:r>
    </w:p>
    <w:p w:rsidR="00BF662A" w:rsidRPr="003D53D2" w:rsidRDefault="00BF662A" w:rsidP="00C242C7">
      <w:pPr>
        <w:numPr>
          <w:ilvl w:val="3"/>
          <w:numId w:val="23"/>
        </w:numPr>
        <w:ind w:left="0" w:firstLine="0"/>
        <w:jc w:val="both"/>
      </w:pPr>
      <w:r w:rsidRPr="003D53D2">
        <w:t>реклама и маркетинг (поставки и услуги).</w:t>
      </w:r>
    </w:p>
    <w:p w:rsidR="00AF7DDD" w:rsidRPr="00072E2C" w:rsidRDefault="00BF662A" w:rsidP="00C242C7">
      <w:pPr>
        <w:numPr>
          <w:ilvl w:val="1"/>
          <w:numId w:val="24"/>
        </w:numPr>
        <w:ind w:left="0" w:firstLine="0"/>
        <w:jc w:val="both"/>
        <w:rPr>
          <w:rStyle w:val="10"/>
          <w:b w:val="0"/>
        </w:rPr>
      </w:pPr>
      <w:r w:rsidRPr="003D53D2">
        <w:rPr>
          <w:bCs/>
        </w:rPr>
        <w:t>При отсутствии данных бухгалтерской отчетности в рамках проведения финансово-экономической экспертизы на оценочной стадии, компании, применяющей УСН, или индивидуальному предпринимателю не может быть присвоена оценка выше 1 (минимально допустимый уровень).</w:t>
      </w:r>
      <w:r w:rsidR="005F722C" w:rsidRPr="00072E2C">
        <w:rPr>
          <w:rStyle w:val="10"/>
        </w:rPr>
        <w:br w:type="page"/>
      </w:r>
    </w:p>
    <w:p w:rsidR="000B4812" w:rsidRDefault="00BF662A" w:rsidP="00C242C7">
      <w:pPr>
        <w:jc w:val="both"/>
        <w:rPr>
          <w:rStyle w:val="10"/>
        </w:rPr>
      </w:pPr>
      <w:bookmarkStart w:id="123" w:name="_Toc516132536"/>
      <w:bookmarkStart w:id="124" w:name="_Toc518302247"/>
      <w:r w:rsidRPr="003D53D2">
        <w:rPr>
          <w:rStyle w:val="10"/>
        </w:rPr>
        <w:lastRenderedPageBreak/>
        <w:t>Приложение 4 Ф</w:t>
      </w:r>
      <w:bookmarkEnd w:id="118"/>
      <w:r w:rsidRPr="003D53D2">
        <w:rPr>
          <w:rStyle w:val="10"/>
        </w:rPr>
        <w:t>ормат заключения</w:t>
      </w:r>
      <w:bookmarkEnd w:id="119"/>
      <w:bookmarkEnd w:id="120"/>
      <w:bookmarkEnd w:id="121"/>
      <w:r w:rsidRPr="003D53D2">
        <w:rPr>
          <w:rStyle w:val="10"/>
        </w:rPr>
        <w:t xml:space="preserve"> по направлению финансово-экономической экспертизы с использованием шаблона «Финэкспертиза.</w:t>
      </w:r>
      <w:r w:rsidRPr="003D53D2">
        <w:rPr>
          <w:rStyle w:val="10"/>
          <w:lang w:val="en-US"/>
        </w:rPr>
        <w:t>xls</w:t>
      </w:r>
      <w:r w:rsidRPr="003D53D2">
        <w:rPr>
          <w:rStyle w:val="10"/>
        </w:rPr>
        <w:t>»</w:t>
      </w:r>
      <w:bookmarkEnd w:id="123"/>
      <w:bookmarkEnd w:id="124"/>
    </w:p>
    <w:p w:rsidR="00BF662A" w:rsidRPr="003D53D2" w:rsidRDefault="00BF662A" w:rsidP="00C242C7">
      <w:pPr>
        <w:jc w:val="both"/>
        <w:rPr>
          <w:rStyle w:val="10"/>
        </w:rPr>
      </w:pPr>
      <w:bookmarkStart w:id="125" w:name="_Toc516132537"/>
      <w:r w:rsidRPr="003D53D2">
        <w:rPr>
          <w:noProof/>
          <w:kern w:val="32"/>
        </w:rPr>
        <w:drawing>
          <wp:inline distT="0" distB="0" distL="0" distR="0" wp14:anchorId="7142E8B0" wp14:editId="2EE58A18">
            <wp:extent cx="5939790" cy="82372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8237220"/>
                    </a:xfrm>
                    <a:prstGeom prst="rect">
                      <a:avLst/>
                    </a:prstGeom>
                    <a:noFill/>
                    <a:ln>
                      <a:noFill/>
                    </a:ln>
                  </pic:spPr>
                </pic:pic>
              </a:graphicData>
            </a:graphic>
          </wp:inline>
        </w:drawing>
      </w:r>
      <w:bookmarkEnd w:id="125"/>
    </w:p>
    <w:p w:rsidR="00BF662A" w:rsidRPr="003D53D2" w:rsidRDefault="00BF662A" w:rsidP="00C242C7">
      <w:pPr>
        <w:jc w:val="both"/>
        <w:rPr>
          <w:rStyle w:val="10"/>
          <w:b w:val="0"/>
        </w:rPr>
      </w:pPr>
      <w:bookmarkStart w:id="126" w:name="_Toc516132538"/>
      <w:r w:rsidRPr="003D53D2">
        <w:rPr>
          <w:noProof/>
          <w:kern w:val="32"/>
        </w:rPr>
        <w:lastRenderedPageBreak/>
        <w:drawing>
          <wp:inline distT="0" distB="0" distL="0" distR="0" wp14:anchorId="253C6F0B" wp14:editId="1A7CAFD9">
            <wp:extent cx="5939790" cy="6546850"/>
            <wp:effectExtent l="0" t="0" r="381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6546850"/>
                    </a:xfrm>
                    <a:prstGeom prst="rect">
                      <a:avLst/>
                    </a:prstGeom>
                    <a:noFill/>
                    <a:ln>
                      <a:noFill/>
                    </a:ln>
                  </pic:spPr>
                </pic:pic>
              </a:graphicData>
            </a:graphic>
          </wp:inline>
        </w:drawing>
      </w:r>
      <w:bookmarkEnd w:id="126"/>
    </w:p>
    <w:p w:rsidR="00BF662A" w:rsidRPr="003D53D2" w:rsidRDefault="00BF662A" w:rsidP="00C242C7">
      <w:pPr>
        <w:rPr>
          <w:rStyle w:val="af1"/>
        </w:rPr>
      </w:pPr>
    </w:p>
    <w:p w:rsidR="00BF662A" w:rsidRPr="003D53D2" w:rsidRDefault="00BF662A" w:rsidP="00C242C7">
      <w:pPr>
        <w:rPr>
          <w:rStyle w:val="af1"/>
        </w:rPr>
      </w:pPr>
    </w:p>
    <w:p w:rsidR="00BF662A" w:rsidRDefault="00BF662A" w:rsidP="00C242C7">
      <w:pPr>
        <w:rPr>
          <w:rStyle w:val="af1"/>
        </w:rPr>
      </w:pPr>
      <w:r w:rsidRPr="003D53D2">
        <w:rPr>
          <w:rStyle w:val="af1"/>
        </w:rPr>
        <w:br w:type="page"/>
      </w:r>
      <w:bookmarkStart w:id="127" w:name="_Toc516132539"/>
      <w:bookmarkStart w:id="128" w:name="_Toc518302248"/>
      <w:r w:rsidRPr="003D53D2">
        <w:rPr>
          <w:rStyle w:val="10"/>
        </w:rPr>
        <w:lastRenderedPageBreak/>
        <w:t>Приложение 5 Формат заключения по направлению финансово-экономической экспертизы с использованием шаблона «Финэкспертиза_МСП.</w:t>
      </w:r>
      <w:r w:rsidRPr="003D53D2">
        <w:rPr>
          <w:rStyle w:val="10"/>
          <w:lang w:val="en-US"/>
        </w:rPr>
        <w:t>xls</w:t>
      </w:r>
      <w:r w:rsidRPr="003D53D2">
        <w:rPr>
          <w:rStyle w:val="10"/>
        </w:rPr>
        <w:t>»</w:t>
      </w:r>
      <w:bookmarkEnd w:id="127"/>
      <w:bookmarkEnd w:id="128"/>
      <w:r w:rsidR="00072E2C" w:rsidRPr="00072E2C">
        <w:rPr>
          <w:b/>
          <w:bCs/>
          <w:kern w:val="32"/>
        </w:rPr>
        <w:t xml:space="preserve"> </w:t>
      </w:r>
      <w:r w:rsidR="00072E2C">
        <w:rPr>
          <w:rStyle w:val="af6"/>
          <w:b/>
          <w:bCs/>
          <w:kern w:val="32"/>
        </w:rPr>
        <w:footnoteReference w:id="4"/>
      </w:r>
      <w:r w:rsidRPr="003D53D2">
        <w:rPr>
          <w:noProof/>
        </w:rPr>
        <w:drawing>
          <wp:inline distT="0" distB="0" distL="0" distR="0" wp14:anchorId="3C72C9CF" wp14:editId="1AB4E9F6">
            <wp:extent cx="5939325" cy="7893487"/>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2756" cy="7898047"/>
                    </a:xfrm>
                    <a:prstGeom prst="rect">
                      <a:avLst/>
                    </a:prstGeom>
                    <a:noFill/>
                    <a:ln>
                      <a:noFill/>
                    </a:ln>
                  </pic:spPr>
                </pic:pic>
              </a:graphicData>
            </a:graphic>
          </wp:inline>
        </w:drawing>
      </w:r>
    </w:p>
    <w:p w:rsidR="008111ED" w:rsidRDefault="00714BE5" w:rsidP="00C242C7">
      <w:pPr>
        <w:rPr>
          <w:rStyle w:val="af1"/>
        </w:rPr>
      </w:pPr>
      <w:r>
        <w:rPr>
          <w:noProof/>
        </w:rPr>
        <w:lastRenderedPageBreak/>
        <w:drawing>
          <wp:inline distT="0" distB="0" distL="0" distR="0" wp14:anchorId="29803B17" wp14:editId="3767A817">
            <wp:extent cx="5934075" cy="6686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6686550"/>
                    </a:xfrm>
                    <a:prstGeom prst="rect">
                      <a:avLst/>
                    </a:prstGeom>
                    <a:noFill/>
                    <a:ln>
                      <a:noFill/>
                    </a:ln>
                  </pic:spPr>
                </pic:pic>
              </a:graphicData>
            </a:graphic>
          </wp:inline>
        </w:drawing>
      </w:r>
    </w:p>
    <w:p w:rsidR="00B352C1" w:rsidRDefault="00B352C1" w:rsidP="00C242C7">
      <w:pPr>
        <w:rPr>
          <w:rStyle w:val="af1"/>
        </w:rPr>
        <w:sectPr w:rsidR="00B352C1" w:rsidSect="000B4812">
          <w:headerReference w:type="default" r:id="rId26"/>
          <w:footerReference w:type="default" r:id="rId27"/>
          <w:pgSz w:w="11906" w:h="16838"/>
          <w:pgMar w:top="1418" w:right="709" w:bottom="426" w:left="1134" w:header="709" w:footer="709" w:gutter="0"/>
          <w:pgNumType w:start="1"/>
          <w:cols w:space="708"/>
          <w:docGrid w:linePitch="360"/>
        </w:sectPr>
      </w:pPr>
    </w:p>
    <w:p w:rsidR="008B7A15" w:rsidRPr="003D53D2" w:rsidRDefault="008B7A15" w:rsidP="00653E3F">
      <w:pPr>
        <w:rPr>
          <w:rStyle w:val="af1"/>
        </w:rPr>
      </w:pPr>
    </w:p>
    <w:sectPr w:rsidR="008B7A15" w:rsidRPr="003D53D2" w:rsidSect="00C242C7">
      <w:headerReference w:type="default" r:id="rId28"/>
      <w:footerReference w:type="default" r:id="rId2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EC" w:rsidRDefault="004E29EC">
      <w:r>
        <w:separator/>
      </w:r>
    </w:p>
  </w:endnote>
  <w:endnote w:type="continuationSeparator" w:id="0">
    <w:p w:rsidR="004E29EC" w:rsidRDefault="004E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76050"/>
      <w:docPartObj>
        <w:docPartGallery w:val="Page Numbers (Bottom of Page)"/>
        <w:docPartUnique/>
      </w:docPartObj>
    </w:sdtPr>
    <w:sdtEndPr/>
    <w:sdtContent>
      <w:p w:rsidR="004A3412" w:rsidRDefault="004A3412">
        <w:pPr>
          <w:pStyle w:val="af"/>
          <w:jc w:val="right"/>
        </w:pPr>
        <w:r>
          <w:fldChar w:fldCharType="begin"/>
        </w:r>
        <w:r>
          <w:instrText>PAGE   \* MERGEFORMAT</w:instrText>
        </w:r>
        <w:r>
          <w:fldChar w:fldCharType="separate"/>
        </w:r>
        <w:r w:rsidR="002A40E1">
          <w:rPr>
            <w:noProof/>
          </w:rPr>
          <w:t>1</w:t>
        </w:r>
        <w:r>
          <w:fldChar w:fldCharType="end"/>
        </w:r>
      </w:p>
    </w:sdtContent>
  </w:sdt>
  <w:p w:rsidR="004A3412" w:rsidRDefault="004A3412" w:rsidP="00BF662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12" w:rsidRDefault="004A3412" w:rsidP="00BF662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EC" w:rsidRDefault="004E29EC">
      <w:r>
        <w:separator/>
      </w:r>
    </w:p>
  </w:footnote>
  <w:footnote w:type="continuationSeparator" w:id="0">
    <w:p w:rsidR="004E29EC" w:rsidRDefault="004E29EC">
      <w:r>
        <w:continuationSeparator/>
      </w:r>
    </w:p>
  </w:footnote>
  <w:footnote w:id="1">
    <w:p w:rsidR="004A3412" w:rsidRDefault="004A3412" w:rsidP="00E41B54">
      <w:pPr>
        <w:pStyle w:val="af4"/>
      </w:pPr>
      <w:r>
        <w:rPr>
          <w:rStyle w:val="af6"/>
        </w:rPr>
        <w:footnoteRef/>
      </w:r>
      <w:r>
        <w:t xml:space="preserve"> При применении настоящей Методики учитывать ВНД в актуальных версиях</w:t>
      </w:r>
    </w:p>
  </w:footnote>
  <w:footnote w:id="2">
    <w:p w:rsidR="004A3412" w:rsidRDefault="004A3412" w:rsidP="00072E2C">
      <w:pPr>
        <w:pStyle w:val="af4"/>
      </w:pPr>
      <w:r>
        <w:rPr>
          <w:rStyle w:val="af6"/>
        </w:rPr>
        <w:footnoteRef/>
      </w:r>
      <w:r>
        <w:t xml:space="preserve"> Раздел применяется только для компаний, </w:t>
      </w:r>
      <w:r w:rsidRPr="00DF67A0">
        <w:t>деятельность которых регламентируется Федеральным законом от 18.07.2011 №223-ФЗ</w:t>
      </w:r>
      <w:r>
        <w:t xml:space="preserve"> (по списку Приложения №3 к Приказу)</w:t>
      </w:r>
    </w:p>
  </w:footnote>
  <w:footnote w:id="3">
    <w:p w:rsidR="004A3412" w:rsidRDefault="004A3412" w:rsidP="00072E2C">
      <w:pPr>
        <w:pStyle w:val="af4"/>
      </w:pPr>
      <w:r>
        <w:rPr>
          <w:rStyle w:val="af6"/>
        </w:rPr>
        <w:footnoteRef/>
      </w:r>
      <w:r>
        <w:t xml:space="preserve"> Приложение применяется только для компаний, </w:t>
      </w:r>
      <w:r w:rsidRPr="00DF67A0">
        <w:t>деятельность которых регламентируется Федеральным законом от 18.07.2011 №223-ФЗ</w:t>
      </w:r>
      <w:r>
        <w:t xml:space="preserve"> (по списку Приложения №3 к Приказу)</w:t>
      </w:r>
    </w:p>
  </w:footnote>
  <w:footnote w:id="4">
    <w:p w:rsidR="004A3412" w:rsidRPr="000B4812" w:rsidRDefault="004A3412" w:rsidP="00072E2C">
      <w:pPr>
        <w:pStyle w:val="af4"/>
        <w:rPr>
          <w:sz w:val="18"/>
          <w:szCs w:val="18"/>
        </w:rPr>
      </w:pPr>
      <w:r>
        <w:rPr>
          <w:rStyle w:val="af6"/>
        </w:rPr>
        <w:footnoteRef/>
      </w:r>
      <w:r>
        <w:t xml:space="preserve"> П</w:t>
      </w:r>
      <w:r w:rsidRPr="000B4812">
        <w:rPr>
          <w:sz w:val="18"/>
          <w:szCs w:val="18"/>
        </w:rPr>
        <w:t xml:space="preserve">рименяется только для компаний, деятельность которых регламентируется Федеральным законом от 18.07.2011 №223-ФЗ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4778"/>
      <w:gridCol w:w="2241"/>
    </w:tblGrid>
    <w:tr w:rsidR="004A3412" w:rsidRPr="00A62BF8" w:rsidTr="004C5659">
      <w:trPr>
        <w:cantSplit/>
        <w:trHeight w:val="242"/>
      </w:trPr>
      <w:tc>
        <w:tcPr>
          <w:tcW w:w="2621" w:type="dxa"/>
          <w:vMerge w:val="restart"/>
          <w:vAlign w:val="center"/>
        </w:tcPr>
        <w:p w:rsidR="004A3412" w:rsidRDefault="004A3412" w:rsidP="00256DB8">
          <w:pPr>
            <w:pStyle w:val="a4"/>
            <w:jc w:val="center"/>
            <w:rPr>
              <w:b/>
              <w:bCs/>
              <w:sz w:val="20"/>
            </w:rPr>
          </w:pPr>
        </w:p>
      </w:tc>
      <w:tc>
        <w:tcPr>
          <w:tcW w:w="4778" w:type="dxa"/>
          <w:vMerge w:val="restart"/>
          <w:vAlign w:val="center"/>
        </w:tcPr>
        <w:p w:rsidR="004A3412" w:rsidRPr="000B4812" w:rsidRDefault="004A3412" w:rsidP="00256DB8">
          <w:pPr>
            <w:pStyle w:val="a4"/>
            <w:jc w:val="center"/>
            <w:rPr>
              <w:sz w:val="22"/>
              <w:szCs w:val="22"/>
            </w:rPr>
          </w:pPr>
          <w:r w:rsidRPr="000B4812">
            <w:rPr>
              <w:sz w:val="22"/>
              <w:szCs w:val="22"/>
            </w:rPr>
            <w:t>Методика «Проведение экспертизы финансово-экономической устойчивости участников закупочных процедур»</w:t>
          </w:r>
        </w:p>
        <w:p w:rsidR="004A3412" w:rsidRPr="00D94217" w:rsidRDefault="004A3412" w:rsidP="00D94217">
          <w:pPr>
            <w:pStyle w:val="a4"/>
            <w:jc w:val="center"/>
            <w:rPr>
              <w:sz w:val="22"/>
              <w:szCs w:val="22"/>
            </w:rPr>
          </w:pPr>
          <w:r w:rsidRPr="000B4812">
            <w:rPr>
              <w:sz w:val="22"/>
              <w:szCs w:val="22"/>
            </w:rPr>
            <w:t>АО «</w:t>
          </w:r>
          <w:r>
            <w:rPr>
              <w:sz w:val="22"/>
              <w:szCs w:val="22"/>
            </w:rPr>
            <w:t>РСП ТПК КГРЭС»</w:t>
          </w:r>
        </w:p>
      </w:tc>
      <w:tc>
        <w:tcPr>
          <w:tcW w:w="2241" w:type="dxa"/>
          <w:vAlign w:val="center"/>
        </w:tcPr>
        <w:p w:rsidR="004A3412" w:rsidRPr="00C242C7" w:rsidRDefault="004A3412" w:rsidP="00256DB8">
          <w:pPr>
            <w:pStyle w:val="a4"/>
            <w:jc w:val="center"/>
          </w:pPr>
        </w:p>
      </w:tc>
    </w:tr>
    <w:tr w:rsidR="004A3412" w:rsidRPr="00A62BF8" w:rsidTr="004C5659">
      <w:trPr>
        <w:cantSplit/>
        <w:trHeight w:val="329"/>
      </w:trPr>
      <w:tc>
        <w:tcPr>
          <w:tcW w:w="2621" w:type="dxa"/>
          <w:vMerge/>
          <w:vAlign w:val="center"/>
        </w:tcPr>
        <w:p w:rsidR="004A3412" w:rsidRDefault="004A3412" w:rsidP="00256DB8">
          <w:pPr>
            <w:pStyle w:val="a4"/>
            <w:jc w:val="center"/>
            <w:rPr>
              <w:sz w:val="20"/>
            </w:rPr>
          </w:pPr>
        </w:p>
      </w:tc>
      <w:tc>
        <w:tcPr>
          <w:tcW w:w="4778" w:type="dxa"/>
          <w:vMerge/>
        </w:tcPr>
        <w:p w:rsidR="004A3412" w:rsidRPr="00C242C7" w:rsidRDefault="004A3412" w:rsidP="00256DB8">
          <w:pPr>
            <w:spacing w:line="360" w:lineRule="auto"/>
            <w:jc w:val="center"/>
            <w:rPr>
              <w:b/>
              <w:bCs/>
              <w:sz w:val="20"/>
            </w:rPr>
          </w:pPr>
        </w:p>
      </w:tc>
      <w:tc>
        <w:tcPr>
          <w:tcW w:w="2241" w:type="dxa"/>
          <w:vAlign w:val="center"/>
        </w:tcPr>
        <w:p w:rsidR="004A3412" w:rsidRPr="00C242C7" w:rsidRDefault="004A3412" w:rsidP="00256DB8">
          <w:pPr>
            <w:pStyle w:val="a4"/>
            <w:jc w:val="center"/>
          </w:pPr>
          <w:r w:rsidRPr="00C242C7">
            <w:t>Для внутреннего использования</w:t>
          </w:r>
        </w:p>
      </w:tc>
    </w:tr>
  </w:tbl>
  <w:p w:rsidR="004A3412" w:rsidRDefault="004A34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12" w:rsidRDefault="004A34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301"/>
    <w:multiLevelType w:val="multilevel"/>
    <w:tmpl w:val="0419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56D0"/>
    <w:multiLevelType w:val="hybridMultilevel"/>
    <w:tmpl w:val="530A0E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F41527"/>
    <w:multiLevelType w:val="hybridMultilevel"/>
    <w:tmpl w:val="9F9009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B0957"/>
    <w:multiLevelType w:val="multilevel"/>
    <w:tmpl w:val="C73A91E6"/>
    <w:lvl w:ilvl="0">
      <w:start w:val="6"/>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1CB3D1C"/>
    <w:multiLevelType w:val="hybridMultilevel"/>
    <w:tmpl w:val="81785C4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65188"/>
    <w:multiLevelType w:val="hybridMultilevel"/>
    <w:tmpl w:val="0C6CD69A"/>
    <w:lvl w:ilvl="0" w:tplc="135638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4F713F"/>
    <w:multiLevelType w:val="multilevel"/>
    <w:tmpl w:val="B89263A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AEF08C8"/>
    <w:multiLevelType w:val="hybridMultilevel"/>
    <w:tmpl w:val="3594E88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15:restartNumberingAfterBreak="0">
    <w:nsid w:val="254A4B48"/>
    <w:multiLevelType w:val="hybridMultilevel"/>
    <w:tmpl w:val="ACD4B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000D2"/>
    <w:multiLevelType w:val="multilevel"/>
    <w:tmpl w:val="DF4C1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B26848"/>
    <w:multiLevelType w:val="multilevel"/>
    <w:tmpl w:val="C73A91E6"/>
    <w:lvl w:ilvl="0">
      <w:start w:val="6"/>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29F3A09"/>
    <w:multiLevelType w:val="hybridMultilevel"/>
    <w:tmpl w:val="70D40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2A0631B"/>
    <w:multiLevelType w:val="hybridMultilevel"/>
    <w:tmpl w:val="8C367DE2"/>
    <w:lvl w:ilvl="0" w:tplc="04190005">
      <w:start w:val="1"/>
      <w:numFmt w:val="bullet"/>
      <w:lvlText w:val=""/>
      <w:lvlJc w:val="left"/>
      <w:pPr>
        <w:ind w:left="1040" w:hanging="360"/>
      </w:pPr>
      <w:rPr>
        <w:rFonts w:ascii="Wingdings" w:hAnsi="Wingdings"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15:restartNumberingAfterBreak="0">
    <w:nsid w:val="3B992AE7"/>
    <w:multiLevelType w:val="multilevel"/>
    <w:tmpl w:val="728E4C0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D0743E"/>
    <w:multiLevelType w:val="multilevel"/>
    <w:tmpl w:val="A978FF4E"/>
    <w:lvl w:ilvl="0">
      <w:start w:val="1"/>
      <w:numFmt w:val="decimal"/>
      <w:pStyle w:val="1"/>
      <w:lvlText w:val="%1."/>
      <w:lvlJc w:val="left"/>
      <w:pPr>
        <w:tabs>
          <w:tab w:val="num" w:pos="1441"/>
        </w:tabs>
        <w:ind w:left="1441" w:hanging="360"/>
      </w:pPr>
      <w:rPr>
        <w:rFonts w:hint="default"/>
      </w:rPr>
    </w:lvl>
    <w:lvl w:ilvl="1">
      <w:start w:val="1"/>
      <w:numFmt w:val="decimal"/>
      <w:isLgl/>
      <w:lvlText w:val="%1.%2."/>
      <w:lvlJc w:val="left"/>
      <w:pPr>
        <w:ind w:left="180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1080"/>
      </w:pPr>
      <w:rPr>
        <w:rFonts w:hint="default"/>
      </w:rPr>
    </w:lvl>
    <w:lvl w:ilvl="4">
      <w:start w:val="1"/>
      <w:numFmt w:val="decimal"/>
      <w:isLgl/>
      <w:lvlText w:val="%1.%2.%3.%4.%5."/>
      <w:lvlJc w:val="left"/>
      <w:pPr>
        <w:ind w:left="2161" w:hanging="1080"/>
      </w:pPr>
      <w:rPr>
        <w:rFonts w:hint="default"/>
      </w:rPr>
    </w:lvl>
    <w:lvl w:ilvl="5">
      <w:start w:val="1"/>
      <w:numFmt w:val="decimal"/>
      <w:isLgl/>
      <w:lvlText w:val="%1.%2.%3.%4.%5.%6."/>
      <w:lvlJc w:val="left"/>
      <w:pPr>
        <w:ind w:left="2521" w:hanging="1440"/>
      </w:pPr>
      <w:rPr>
        <w:rFonts w:hint="default"/>
      </w:rPr>
    </w:lvl>
    <w:lvl w:ilvl="6">
      <w:start w:val="1"/>
      <w:numFmt w:val="decimal"/>
      <w:isLgl/>
      <w:lvlText w:val="%1.%2.%3.%4.%5.%6.%7."/>
      <w:lvlJc w:val="left"/>
      <w:pPr>
        <w:ind w:left="2521"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241" w:hanging="2160"/>
      </w:pPr>
      <w:rPr>
        <w:rFonts w:hint="default"/>
      </w:rPr>
    </w:lvl>
  </w:abstractNum>
  <w:abstractNum w:abstractNumId="15" w15:restartNumberingAfterBreak="0">
    <w:nsid w:val="444E31B6"/>
    <w:multiLevelType w:val="hybridMultilevel"/>
    <w:tmpl w:val="C63ECD30"/>
    <w:lvl w:ilvl="0" w:tplc="06567864">
      <w:start w:val="1"/>
      <w:numFmt w:val="bullet"/>
      <w:lvlText w:val=""/>
      <w:lvlJc w:val="left"/>
      <w:pPr>
        <w:ind w:left="1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656786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E72A2"/>
    <w:multiLevelType w:val="multilevel"/>
    <w:tmpl w:val="24EE2ED8"/>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8B0321"/>
    <w:multiLevelType w:val="hybridMultilevel"/>
    <w:tmpl w:val="608C7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7E6699"/>
    <w:multiLevelType w:val="hybridMultilevel"/>
    <w:tmpl w:val="6FCED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32090C"/>
    <w:multiLevelType w:val="multilevel"/>
    <w:tmpl w:val="1D8830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584"/>
        </w:tabs>
        <w:ind w:left="158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8E151F8"/>
    <w:multiLevelType w:val="hybridMultilevel"/>
    <w:tmpl w:val="DDD83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CA6303"/>
    <w:multiLevelType w:val="hybridMultilevel"/>
    <w:tmpl w:val="51468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D02EC1"/>
    <w:multiLevelType w:val="hybridMultilevel"/>
    <w:tmpl w:val="FA38E9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86E34"/>
    <w:multiLevelType w:val="hybridMultilevel"/>
    <w:tmpl w:val="389E5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F2F1FB5"/>
    <w:multiLevelType w:val="hybridMultilevel"/>
    <w:tmpl w:val="7B0621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C0AB3"/>
    <w:multiLevelType w:val="multilevel"/>
    <w:tmpl w:val="728E4C0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BA2D05"/>
    <w:multiLevelType w:val="hybridMultilevel"/>
    <w:tmpl w:val="8872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2AC7E8B"/>
    <w:multiLevelType w:val="hybridMultilevel"/>
    <w:tmpl w:val="CF84B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C59A6"/>
    <w:multiLevelType w:val="hybridMultilevel"/>
    <w:tmpl w:val="4726FC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A849B2"/>
    <w:multiLevelType w:val="multilevel"/>
    <w:tmpl w:val="DF4C1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2"/>
  </w:num>
  <w:num w:numId="3">
    <w:abstractNumId w:val="21"/>
  </w:num>
  <w:num w:numId="4">
    <w:abstractNumId w:val="19"/>
  </w:num>
  <w:num w:numId="5">
    <w:abstractNumId w:val="5"/>
  </w:num>
  <w:num w:numId="6">
    <w:abstractNumId w:val="24"/>
  </w:num>
  <w:num w:numId="7">
    <w:abstractNumId w:val="27"/>
  </w:num>
  <w:num w:numId="8">
    <w:abstractNumId w:val="22"/>
  </w:num>
  <w:num w:numId="9">
    <w:abstractNumId w:val="28"/>
  </w:num>
  <w:num w:numId="10">
    <w:abstractNumId w:val="2"/>
  </w:num>
  <w:num w:numId="11">
    <w:abstractNumId w:val="4"/>
  </w:num>
  <w:num w:numId="12">
    <w:abstractNumId w:val="17"/>
  </w:num>
  <w:num w:numId="13">
    <w:abstractNumId w:val="8"/>
  </w:num>
  <w:num w:numId="14">
    <w:abstractNumId w:val="10"/>
  </w:num>
  <w:num w:numId="15">
    <w:abstractNumId w:val="3"/>
  </w:num>
  <w:num w:numId="16">
    <w:abstractNumId w:val="25"/>
  </w:num>
  <w:num w:numId="17">
    <w:abstractNumId w:val="20"/>
  </w:num>
  <w:num w:numId="18">
    <w:abstractNumId w:val="23"/>
  </w:num>
  <w:num w:numId="19">
    <w:abstractNumId w:val="11"/>
  </w:num>
  <w:num w:numId="20">
    <w:abstractNumId w:val="26"/>
  </w:num>
  <w:num w:numId="21">
    <w:abstractNumId w:val="7"/>
  </w:num>
  <w:num w:numId="22">
    <w:abstractNumId w:val="18"/>
  </w:num>
  <w:num w:numId="23">
    <w:abstractNumId w:val="15"/>
  </w:num>
  <w:num w:numId="24">
    <w:abstractNumId w:val="13"/>
  </w:num>
  <w:num w:numId="25">
    <w:abstractNumId w:val="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46"/>
    <w:rsid w:val="0004189C"/>
    <w:rsid w:val="00045921"/>
    <w:rsid w:val="00050DA1"/>
    <w:rsid w:val="00056D93"/>
    <w:rsid w:val="0006219F"/>
    <w:rsid w:val="00065FF6"/>
    <w:rsid w:val="0007095F"/>
    <w:rsid w:val="00072E2C"/>
    <w:rsid w:val="000938BA"/>
    <w:rsid w:val="000A41A6"/>
    <w:rsid w:val="000B4812"/>
    <w:rsid w:val="000B796A"/>
    <w:rsid w:val="000D6510"/>
    <w:rsid w:val="000D70CF"/>
    <w:rsid w:val="000E2D60"/>
    <w:rsid w:val="000E4B99"/>
    <w:rsid w:val="000E6517"/>
    <w:rsid w:val="000E6EC3"/>
    <w:rsid w:val="000F62B0"/>
    <w:rsid w:val="00106E94"/>
    <w:rsid w:val="00120927"/>
    <w:rsid w:val="00125D7E"/>
    <w:rsid w:val="001279B9"/>
    <w:rsid w:val="00194443"/>
    <w:rsid w:val="001A7E45"/>
    <w:rsid w:val="001E6931"/>
    <w:rsid w:val="001E7412"/>
    <w:rsid w:val="001F03BB"/>
    <w:rsid w:val="002167D5"/>
    <w:rsid w:val="00220907"/>
    <w:rsid w:val="00221342"/>
    <w:rsid w:val="00221FF7"/>
    <w:rsid w:val="00233D30"/>
    <w:rsid w:val="00256DB8"/>
    <w:rsid w:val="002A40E1"/>
    <w:rsid w:val="002D648A"/>
    <w:rsid w:val="002D651E"/>
    <w:rsid w:val="003248C4"/>
    <w:rsid w:val="00337C6C"/>
    <w:rsid w:val="00343F7F"/>
    <w:rsid w:val="00365DD0"/>
    <w:rsid w:val="003679AF"/>
    <w:rsid w:val="003927F7"/>
    <w:rsid w:val="00392859"/>
    <w:rsid w:val="003D4EAD"/>
    <w:rsid w:val="003D53D2"/>
    <w:rsid w:val="003E199B"/>
    <w:rsid w:val="00403CFE"/>
    <w:rsid w:val="00416968"/>
    <w:rsid w:val="00454A99"/>
    <w:rsid w:val="004568CC"/>
    <w:rsid w:val="00475901"/>
    <w:rsid w:val="004A3412"/>
    <w:rsid w:val="004C0780"/>
    <w:rsid w:val="004C1DEA"/>
    <w:rsid w:val="004C5659"/>
    <w:rsid w:val="004D65D9"/>
    <w:rsid w:val="004E29EC"/>
    <w:rsid w:val="004E4E4D"/>
    <w:rsid w:val="004E55D0"/>
    <w:rsid w:val="004F7F37"/>
    <w:rsid w:val="00514A83"/>
    <w:rsid w:val="00534B00"/>
    <w:rsid w:val="0055021B"/>
    <w:rsid w:val="00555A04"/>
    <w:rsid w:val="00581BCC"/>
    <w:rsid w:val="00590AFC"/>
    <w:rsid w:val="005943E8"/>
    <w:rsid w:val="005D2B00"/>
    <w:rsid w:val="005E6616"/>
    <w:rsid w:val="005F722C"/>
    <w:rsid w:val="006019A9"/>
    <w:rsid w:val="00603334"/>
    <w:rsid w:val="00641ED9"/>
    <w:rsid w:val="0064291E"/>
    <w:rsid w:val="00653E3F"/>
    <w:rsid w:val="006809A6"/>
    <w:rsid w:val="00693E7D"/>
    <w:rsid w:val="006C7469"/>
    <w:rsid w:val="006D55D8"/>
    <w:rsid w:val="006D7A76"/>
    <w:rsid w:val="006E65B4"/>
    <w:rsid w:val="006F56D1"/>
    <w:rsid w:val="006F5776"/>
    <w:rsid w:val="00704210"/>
    <w:rsid w:val="0070628A"/>
    <w:rsid w:val="0071490A"/>
    <w:rsid w:val="00714BE5"/>
    <w:rsid w:val="00723501"/>
    <w:rsid w:val="0072502E"/>
    <w:rsid w:val="0073059A"/>
    <w:rsid w:val="007305BF"/>
    <w:rsid w:val="007353C0"/>
    <w:rsid w:val="007971F4"/>
    <w:rsid w:val="007E3705"/>
    <w:rsid w:val="007E52C1"/>
    <w:rsid w:val="007F7FDB"/>
    <w:rsid w:val="008111ED"/>
    <w:rsid w:val="00812AD9"/>
    <w:rsid w:val="008300B9"/>
    <w:rsid w:val="00852B3F"/>
    <w:rsid w:val="0086482A"/>
    <w:rsid w:val="00865010"/>
    <w:rsid w:val="00877C3F"/>
    <w:rsid w:val="00880469"/>
    <w:rsid w:val="008B6A15"/>
    <w:rsid w:val="008B7A15"/>
    <w:rsid w:val="008C7CFF"/>
    <w:rsid w:val="008D4735"/>
    <w:rsid w:val="008D6924"/>
    <w:rsid w:val="008E53D5"/>
    <w:rsid w:val="00916D62"/>
    <w:rsid w:val="00966175"/>
    <w:rsid w:val="00974D7A"/>
    <w:rsid w:val="00976013"/>
    <w:rsid w:val="00987F56"/>
    <w:rsid w:val="009B05A2"/>
    <w:rsid w:val="009B529E"/>
    <w:rsid w:val="009D5FFB"/>
    <w:rsid w:val="009F6113"/>
    <w:rsid w:val="009F6207"/>
    <w:rsid w:val="00A06309"/>
    <w:rsid w:val="00A13FE4"/>
    <w:rsid w:val="00A80287"/>
    <w:rsid w:val="00AC27BE"/>
    <w:rsid w:val="00AD760D"/>
    <w:rsid w:val="00AE4D87"/>
    <w:rsid w:val="00AF7DDD"/>
    <w:rsid w:val="00B32218"/>
    <w:rsid w:val="00B352C1"/>
    <w:rsid w:val="00B40016"/>
    <w:rsid w:val="00B74838"/>
    <w:rsid w:val="00B80ED4"/>
    <w:rsid w:val="00B82A57"/>
    <w:rsid w:val="00B95D6D"/>
    <w:rsid w:val="00BB2D98"/>
    <w:rsid w:val="00BE4586"/>
    <w:rsid w:val="00BF662A"/>
    <w:rsid w:val="00BF6907"/>
    <w:rsid w:val="00C14124"/>
    <w:rsid w:val="00C236E0"/>
    <w:rsid w:val="00C242C7"/>
    <w:rsid w:val="00C3086A"/>
    <w:rsid w:val="00C619E2"/>
    <w:rsid w:val="00C74489"/>
    <w:rsid w:val="00C76C46"/>
    <w:rsid w:val="00C8163A"/>
    <w:rsid w:val="00C82A25"/>
    <w:rsid w:val="00C834DC"/>
    <w:rsid w:val="00CB491E"/>
    <w:rsid w:val="00D020FE"/>
    <w:rsid w:val="00D177A1"/>
    <w:rsid w:val="00D23876"/>
    <w:rsid w:val="00D4543B"/>
    <w:rsid w:val="00D515B3"/>
    <w:rsid w:val="00D5405E"/>
    <w:rsid w:val="00D640C4"/>
    <w:rsid w:val="00D65809"/>
    <w:rsid w:val="00D7176A"/>
    <w:rsid w:val="00D74BF3"/>
    <w:rsid w:val="00D91558"/>
    <w:rsid w:val="00D9291F"/>
    <w:rsid w:val="00D94217"/>
    <w:rsid w:val="00DC15CB"/>
    <w:rsid w:val="00DE5DA1"/>
    <w:rsid w:val="00E303C8"/>
    <w:rsid w:val="00E41B54"/>
    <w:rsid w:val="00E41FA4"/>
    <w:rsid w:val="00E62F36"/>
    <w:rsid w:val="00E80EBD"/>
    <w:rsid w:val="00EC0CF0"/>
    <w:rsid w:val="00EC4D00"/>
    <w:rsid w:val="00F05E4A"/>
    <w:rsid w:val="00F31990"/>
    <w:rsid w:val="00F506F6"/>
    <w:rsid w:val="00F52162"/>
    <w:rsid w:val="00F7489C"/>
    <w:rsid w:val="00F82A8D"/>
    <w:rsid w:val="00F86FA1"/>
    <w:rsid w:val="00FA0E75"/>
    <w:rsid w:val="00FD5D3F"/>
    <w:rsid w:val="00FE5894"/>
    <w:rsid w:val="00FF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9CEE8-2BE0-4E5B-9210-8B784F2D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968"/>
    <w:pPr>
      <w:numPr>
        <w:numId w:val="1"/>
      </w:numPr>
      <w:tabs>
        <w:tab w:val="clear" w:pos="1441"/>
        <w:tab w:val="num" w:pos="709"/>
      </w:tabs>
      <w:spacing w:before="120" w:after="120"/>
      <w:ind w:left="0" w:firstLine="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C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76C46"/>
    <w:pPr>
      <w:tabs>
        <w:tab w:val="center" w:pos="4677"/>
        <w:tab w:val="right" w:pos="9355"/>
      </w:tabs>
    </w:pPr>
  </w:style>
  <w:style w:type="character" w:customStyle="1" w:styleId="a5">
    <w:name w:val="Верхний колонтитул Знак"/>
    <w:basedOn w:val="a0"/>
    <w:link w:val="a4"/>
    <w:rsid w:val="00C76C46"/>
    <w:rPr>
      <w:rFonts w:ascii="Times New Roman" w:eastAsia="Times New Roman" w:hAnsi="Times New Roman" w:cs="Times New Roman"/>
      <w:sz w:val="24"/>
      <w:szCs w:val="24"/>
      <w:lang w:eastAsia="ru-RU"/>
    </w:rPr>
  </w:style>
  <w:style w:type="paragraph" w:styleId="a6">
    <w:name w:val="Title"/>
    <w:basedOn w:val="a"/>
    <w:link w:val="a7"/>
    <w:qFormat/>
    <w:rsid w:val="00C76C46"/>
    <w:pPr>
      <w:jc w:val="center"/>
    </w:pPr>
    <w:rPr>
      <w:b/>
      <w:bCs/>
      <w:sz w:val="28"/>
    </w:rPr>
  </w:style>
  <w:style w:type="character" w:customStyle="1" w:styleId="a7">
    <w:name w:val="Название Знак"/>
    <w:basedOn w:val="a0"/>
    <w:link w:val="a6"/>
    <w:rsid w:val="00C76C46"/>
    <w:rPr>
      <w:rFonts w:ascii="Times New Roman" w:eastAsia="Times New Roman" w:hAnsi="Times New Roman" w:cs="Times New Roman"/>
      <w:b/>
      <w:bCs/>
      <w:sz w:val="28"/>
      <w:szCs w:val="24"/>
      <w:lang w:eastAsia="ru-RU"/>
    </w:rPr>
  </w:style>
  <w:style w:type="character" w:customStyle="1" w:styleId="mChar">
    <w:name w:val="m_ПростойТекст Char"/>
    <w:link w:val="m"/>
    <w:locked/>
    <w:rsid w:val="00C76C46"/>
    <w:rPr>
      <w:rFonts w:ascii="Times New Roman" w:eastAsia="Times New Roman" w:hAnsi="Times New Roman" w:cs="Times New Roman"/>
      <w:sz w:val="24"/>
      <w:szCs w:val="24"/>
      <w:lang w:eastAsia="ru-RU"/>
    </w:rPr>
  </w:style>
  <w:style w:type="paragraph" w:customStyle="1" w:styleId="m">
    <w:name w:val="m_ПростойТекст"/>
    <w:basedOn w:val="a"/>
    <w:link w:val="mChar"/>
    <w:rsid w:val="00C76C46"/>
    <w:pPr>
      <w:jc w:val="both"/>
    </w:pPr>
  </w:style>
  <w:style w:type="character" w:styleId="a8">
    <w:name w:val="page number"/>
    <w:basedOn w:val="a0"/>
    <w:rsid w:val="00C76C46"/>
  </w:style>
  <w:style w:type="paragraph" w:customStyle="1" w:styleId="TableHeader">
    <w:name w:val="TableHeader"/>
    <w:rsid w:val="00C76C46"/>
    <w:pPr>
      <w:spacing w:after="0" w:line="288" w:lineRule="atLeast"/>
      <w:jc w:val="center"/>
    </w:pPr>
    <w:rPr>
      <w:rFonts w:ascii="Arial" w:eastAsia="Arial" w:hAnsi="Arial" w:cs="Arial"/>
      <w:b/>
      <w:color w:val="000000"/>
      <w:sz w:val="24"/>
      <w:szCs w:val="20"/>
      <w:shd w:val="clear" w:color="auto" w:fill="D9D9D9"/>
      <w:lang w:eastAsia="ru-RU"/>
    </w:rPr>
  </w:style>
  <w:style w:type="paragraph" w:customStyle="1" w:styleId="TableSubheader">
    <w:name w:val="TableSubheader"/>
    <w:rsid w:val="00C76C46"/>
    <w:pPr>
      <w:spacing w:after="0" w:line="288" w:lineRule="atLeast"/>
      <w:jc w:val="center"/>
    </w:pPr>
    <w:rPr>
      <w:rFonts w:ascii="Arial" w:eastAsia="Arial" w:hAnsi="Arial" w:cs="Arial"/>
      <w:i/>
      <w:color w:val="000000"/>
      <w:sz w:val="24"/>
      <w:szCs w:val="20"/>
      <w:shd w:val="clear" w:color="auto" w:fill="D9D9D9"/>
      <w:lang w:eastAsia="ru-RU"/>
    </w:rPr>
  </w:style>
  <w:style w:type="paragraph" w:customStyle="1" w:styleId="TableText">
    <w:name w:val="TableText"/>
    <w:rsid w:val="00C76C46"/>
    <w:pPr>
      <w:spacing w:after="0" w:line="288" w:lineRule="atLeast"/>
    </w:pPr>
    <w:rPr>
      <w:rFonts w:ascii="Arial" w:eastAsia="Arial" w:hAnsi="Arial" w:cs="Arial"/>
      <w:color w:val="000000"/>
      <w:sz w:val="24"/>
      <w:szCs w:val="20"/>
      <w:lang w:eastAsia="ru-RU"/>
    </w:rPr>
  </w:style>
  <w:style w:type="character" w:styleId="a9">
    <w:name w:val="Hyperlink"/>
    <w:uiPriority w:val="99"/>
    <w:rsid w:val="00050DA1"/>
    <w:rPr>
      <w:color w:val="0000FF"/>
      <w:u w:val="single"/>
    </w:rPr>
  </w:style>
  <w:style w:type="paragraph" w:styleId="11">
    <w:name w:val="toc 1"/>
    <w:basedOn w:val="a"/>
    <w:next w:val="a"/>
    <w:autoRedefine/>
    <w:uiPriority w:val="39"/>
    <w:rsid w:val="00416968"/>
    <w:pPr>
      <w:tabs>
        <w:tab w:val="left" w:pos="567"/>
        <w:tab w:val="right" w:leader="dot" w:pos="9344"/>
      </w:tabs>
      <w:spacing w:before="120"/>
    </w:pPr>
    <w:rPr>
      <w:bCs/>
      <w:iCs/>
      <w:noProof/>
    </w:rPr>
  </w:style>
  <w:style w:type="paragraph" w:styleId="aa">
    <w:name w:val="List Paragraph"/>
    <w:basedOn w:val="a"/>
    <w:uiPriority w:val="34"/>
    <w:qFormat/>
    <w:rsid w:val="00BB2D98"/>
    <w:pPr>
      <w:ind w:left="720"/>
      <w:contextualSpacing/>
    </w:pPr>
  </w:style>
  <w:style w:type="character" w:customStyle="1" w:styleId="10">
    <w:name w:val="Заголовок 1 Знак"/>
    <w:basedOn w:val="a0"/>
    <w:link w:val="1"/>
    <w:rsid w:val="00416968"/>
    <w:rPr>
      <w:rFonts w:ascii="Times New Roman" w:eastAsia="Times New Roman" w:hAnsi="Times New Roman" w:cs="Times New Roman"/>
      <w:b/>
      <w:sz w:val="24"/>
      <w:szCs w:val="24"/>
      <w:lang w:eastAsia="ru-RU"/>
    </w:rPr>
  </w:style>
  <w:style w:type="paragraph" w:styleId="ab">
    <w:name w:val="Balloon Text"/>
    <w:basedOn w:val="a"/>
    <w:link w:val="ac"/>
    <w:uiPriority w:val="99"/>
    <w:semiHidden/>
    <w:unhideWhenUsed/>
    <w:rsid w:val="00D74BF3"/>
    <w:rPr>
      <w:rFonts w:ascii="Tahoma" w:hAnsi="Tahoma" w:cs="Tahoma"/>
      <w:sz w:val="16"/>
      <w:szCs w:val="16"/>
    </w:rPr>
  </w:style>
  <w:style w:type="character" w:customStyle="1" w:styleId="ac">
    <w:name w:val="Текст выноски Знак"/>
    <w:basedOn w:val="a0"/>
    <w:link w:val="ab"/>
    <w:uiPriority w:val="99"/>
    <w:semiHidden/>
    <w:rsid w:val="00D74BF3"/>
    <w:rPr>
      <w:rFonts w:ascii="Tahoma" w:eastAsia="Times New Roman" w:hAnsi="Tahoma" w:cs="Tahoma"/>
      <w:sz w:val="16"/>
      <w:szCs w:val="16"/>
      <w:lang w:eastAsia="ru-RU"/>
    </w:rPr>
  </w:style>
  <w:style w:type="paragraph" w:styleId="ad">
    <w:name w:val="annotation text"/>
    <w:basedOn w:val="a"/>
    <w:link w:val="ae"/>
    <w:semiHidden/>
    <w:rsid w:val="00BF662A"/>
    <w:rPr>
      <w:sz w:val="20"/>
      <w:szCs w:val="20"/>
    </w:rPr>
  </w:style>
  <w:style w:type="character" w:customStyle="1" w:styleId="ae">
    <w:name w:val="Текст примечания Знак"/>
    <w:basedOn w:val="a0"/>
    <w:link w:val="ad"/>
    <w:semiHidden/>
    <w:rsid w:val="00BF662A"/>
    <w:rPr>
      <w:rFonts w:ascii="Times New Roman" w:eastAsia="Times New Roman" w:hAnsi="Times New Roman" w:cs="Times New Roman"/>
      <w:sz w:val="20"/>
      <w:szCs w:val="20"/>
      <w:lang w:eastAsia="ru-RU"/>
    </w:rPr>
  </w:style>
  <w:style w:type="paragraph" w:styleId="af">
    <w:name w:val="footer"/>
    <w:basedOn w:val="a"/>
    <w:link w:val="af0"/>
    <w:uiPriority w:val="99"/>
    <w:rsid w:val="00BF662A"/>
    <w:pPr>
      <w:tabs>
        <w:tab w:val="center" w:pos="4677"/>
        <w:tab w:val="right" w:pos="9355"/>
      </w:tabs>
    </w:pPr>
  </w:style>
  <w:style w:type="character" w:customStyle="1" w:styleId="af0">
    <w:name w:val="Нижний колонтитул Знак"/>
    <w:basedOn w:val="a0"/>
    <w:link w:val="af"/>
    <w:uiPriority w:val="99"/>
    <w:rsid w:val="00BF662A"/>
    <w:rPr>
      <w:rFonts w:ascii="Times New Roman" w:eastAsia="Times New Roman" w:hAnsi="Times New Roman" w:cs="Times New Roman"/>
      <w:sz w:val="24"/>
      <w:szCs w:val="24"/>
      <w:lang w:eastAsia="ru-RU"/>
    </w:rPr>
  </w:style>
  <w:style w:type="character" w:styleId="af1">
    <w:name w:val="Emphasis"/>
    <w:qFormat/>
    <w:rsid w:val="00BF662A"/>
    <w:rPr>
      <w:i/>
      <w:iCs/>
    </w:rPr>
  </w:style>
  <w:style w:type="paragraph" w:styleId="af2">
    <w:name w:val="TOC Heading"/>
    <w:basedOn w:val="1"/>
    <w:next w:val="a"/>
    <w:uiPriority w:val="39"/>
    <w:unhideWhenUsed/>
    <w:qFormat/>
    <w:rsid w:val="001E7412"/>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styleId="af3">
    <w:name w:val="FollowedHyperlink"/>
    <w:basedOn w:val="a0"/>
    <w:uiPriority w:val="99"/>
    <w:semiHidden/>
    <w:unhideWhenUsed/>
    <w:rsid w:val="001E7412"/>
    <w:rPr>
      <w:color w:val="800080" w:themeColor="followedHyperlink"/>
      <w:u w:val="single"/>
    </w:rPr>
  </w:style>
  <w:style w:type="paragraph" w:styleId="2">
    <w:name w:val="toc 2"/>
    <w:basedOn w:val="a"/>
    <w:next w:val="a"/>
    <w:autoRedefine/>
    <w:uiPriority w:val="39"/>
    <w:unhideWhenUsed/>
    <w:rsid w:val="001E7412"/>
    <w:pPr>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1E7412"/>
    <w:pPr>
      <w:spacing w:after="100" w:line="259" w:lineRule="auto"/>
      <w:ind w:left="440"/>
    </w:pPr>
    <w:rPr>
      <w:rFonts w:asciiTheme="minorHAnsi" w:eastAsiaTheme="minorEastAsia" w:hAnsiTheme="minorHAnsi"/>
      <w:sz w:val="22"/>
      <w:szCs w:val="22"/>
    </w:rPr>
  </w:style>
  <w:style w:type="paragraph" w:styleId="af4">
    <w:name w:val="footnote text"/>
    <w:basedOn w:val="a"/>
    <w:link w:val="af5"/>
    <w:uiPriority w:val="99"/>
    <w:semiHidden/>
    <w:unhideWhenUsed/>
    <w:rsid w:val="00072E2C"/>
    <w:rPr>
      <w:sz w:val="20"/>
      <w:szCs w:val="20"/>
    </w:rPr>
  </w:style>
  <w:style w:type="character" w:customStyle="1" w:styleId="af5">
    <w:name w:val="Текст сноски Знак"/>
    <w:basedOn w:val="a0"/>
    <w:link w:val="af4"/>
    <w:uiPriority w:val="99"/>
    <w:semiHidden/>
    <w:rsid w:val="00072E2C"/>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072E2C"/>
    <w:rPr>
      <w:vertAlign w:val="superscript"/>
    </w:rPr>
  </w:style>
  <w:style w:type="paragraph" w:customStyle="1" w:styleId="12">
    <w:name w:val="Стиль1"/>
    <w:basedOn w:val="a"/>
    <w:qFormat/>
    <w:rsid w:val="00416968"/>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4398">
      <w:bodyDiv w:val="1"/>
      <w:marLeft w:val="0"/>
      <w:marRight w:val="0"/>
      <w:marTop w:val="0"/>
      <w:marBottom w:val="0"/>
      <w:divBdr>
        <w:top w:val="none" w:sz="0" w:space="0" w:color="auto"/>
        <w:left w:val="none" w:sz="0" w:space="0" w:color="auto"/>
        <w:bottom w:val="none" w:sz="0" w:space="0" w:color="auto"/>
        <w:right w:val="none" w:sz="0" w:space="0" w:color="auto"/>
      </w:divBdr>
    </w:div>
    <w:div w:id="2006516174">
      <w:bodyDiv w:val="1"/>
      <w:marLeft w:val="0"/>
      <w:marRight w:val="0"/>
      <w:marTop w:val="0"/>
      <w:marBottom w:val="0"/>
      <w:divBdr>
        <w:top w:val="none" w:sz="0" w:space="0" w:color="auto"/>
        <w:left w:val="none" w:sz="0" w:space="0" w:color="auto"/>
        <w:bottom w:val="none" w:sz="0" w:space="0" w:color="auto"/>
        <w:right w:val="none" w:sz="0" w:space="0" w:color="auto"/>
      </w:divBdr>
    </w:div>
    <w:div w:id="20835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3D70-884B-40C4-A6AF-0E23B1E4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83898</CharactersWithSpaces>
  <SharedDoc>false</SharedDoc>
  <HLinks>
    <vt:vector size="114" baseType="variant">
      <vt:variant>
        <vt:i4>1441845</vt:i4>
      </vt:variant>
      <vt:variant>
        <vt:i4>108</vt:i4>
      </vt:variant>
      <vt:variant>
        <vt:i4>0</vt:i4>
      </vt:variant>
      <vt:variant>
        <vt:i4>5</vt:i4>
      </vt:variant>
      <vt:variant>
        <vt:lpwstr/>
      </vt:variant>
      <vt:variant>
        <vt:lpwstr>_Toc516132539</vt:lpwstr>
      </vt:variant>
      <vt:variant>
        <vt:i4>1441845</vt:i4>
      </vt:variant>
      <vt:variant>
        <vt:i4>102</vt:i4>
      </vt:variant>
      <vt:variant>
        <vt:i4>0</vt:i4>
      </vt:variant>
      <vt:variant>
        <vt:i4>5</vt:i4>
      </vt:variant>
      <vt:variant>
        <vt:lpwstr/>
      </vt:variant>
      <vt:variant>
        <vt:lpwstr>_Toc516132536</vt:lpwstr>
      </vt:variant>
      <vt:variant>
        <vt:i4>1441845</vt:i4>
      </vt:variant>
      <vt:variant>
        <vt:i4>96</vt:i4>
      </vt:variant>
      <vt:variant>
        <vt:i4>0</vt:i4>
      </vt:variant>
      <vt:variant>
        <vt:i4>5</vt:i4>
      </vt:variant>
      <vt:variant>
        <vt:lpwstr/>
      </vt:variant>
      <vt:variant>
        <vt:lpwstr>_Toc516132535</vt:lpwstr>
      </vt:variant>
      <vt:variant>
        <vt:i4>1441845</vt:i4>
      </vt:variant>
      <vt:variant>
        <vt:i4>90</vt:i4>
      </vt:variant>
      <vt:variant>
        <vt:i4>0</vt:i4>
      </vt:variant>
      <vt:variant>
        <vt:i4>5</vt:i4>
      </vt:variant>
      <vt:variant>
        <vt:lpwstr/>
      </vt:variant>
      <vt:variant>
        <vt:lpwstr>_Toc516132534</vt:lpwstr>
      </vt:variant>
      <vt:variant>
        <vt:i4>1441845</vt:i4>
      </vt:variant>
      <vt:variant>
        <vt:i4>84</vt:i4>
      </vt:variant>
      <vt:variant>
        <vt:i4>0</vt:i4>
      </vt:variant>
      <vt:variant>
        <vt:i4>5</vt:i4>
      </vt:variant>
      <vt:variant>
        <vt:lpwstr/>
      </vt:variant>
      <vt:variant>
        <vt:lpwstr>_Toc516132533</vt:lpwstr>
      </vt:variant>
      <vt:variant>
        <vt:i4>1441845</vt:i4>
      </vt:variant>
      <vt:variant>
        <vt:i4>78</vt:i4>
      </vt:variant>
      <vt:variant>
        <vt:i4>0</vt:i4>
      </vt:variant>
      <vt:variant>
        <vt:i4>5</vt:i4>
      </vt:variant>
      <vt:variant>
        <vt:lpwstr/>
      </vt:variant>
      <vt:variant>
        <vt:lpwstr>_Toc516132532</vt:lpwstr>
      </vt:variant>
      <vt:variant>
        <vt:i4>1441845</vt:i4>
      </vt:variant>
      <vt:variant>
        <vt:i4>72</vt:i4>
      </vt:variant>
      <vt:variant>
        <vt:i4>0</vt:i4>
      </vt:variant>
      <vt:variant>
        <vt:i4>5</vt:i4>
      </vt:variant>
      <vt:variant>
        <vt:lpwstr/>
      </vt:variant>
      <vt:variant>
        <vt:lpwstr>_Toc516132531</vt:lpwstr>
      </vt:variant>
      <vt:variant>
        <vt:i4>1441845</vt:i4>
      </vt:variant>
      <vt:variant>
        <vt:i4>66</vt:i4>
      </vt:variant>
      <vt:variant>
        <vt:i4>0</vt:i4>
      </vt:variant>
      <vt:variant>
        <vt:i4>5</vt:i4>
      </vt:variant>
      <vt:variant>
        <vt:lpwstr/>
      </vt:variant>
      <vt:variant>
        <vt:lpwstr>_Toc516132530</vt:lpwstr>
      </vt:variant>
      <vt:variant>
        <vt:i4>1507381</vt:i4>
      </vt:variant>
      <vt:variant>
        <vt:i4>60</vt:i4>
      </vt:variant>
      <vt:variant>
        <vt:i4>0</vt:i4>
      </vt:variant>
      <vt:variant>
        <vt:i4>5</vt:i4>
      </vt:variant>
      <vt:variant>
        <vt:lpwstr/>
      </vt:variant>
      <vt:variant>
        <vt:lpwstr>_Toc516132529</vt:lpwstr>
      </vt:variant>
      <vt:variant>
        <vt:i4>1507381</vt:i4>
      </vt:variant>
      <vt:variant>
        <vt:i4>54</vt:i4>
      </vt:variant>
      <vt:variant>
        <vt:i4>0</vt:i4>
      </vt:variant>
      <vt:variant>
        <vt:i4>5</vt:i4>
      </vt:variant>
      <vt:variant>
        <vt:lpwstr/>
      </vt:variant>
      <vt:variant>
        <vt:lpwstr>_Toc516132528</vt:lpwstr>
      </vt:variant>
      <vt:variant>
        <vt:i4>1507381</vt:i4>
      </vt:variant>
      <vt:variant>
        <vt:i4>48</vt:i4>
      </vt:variant>
      <vt:variant>
        <vt:i4>0</vt:i4>
      </vt:variant>
      <vt:variant>
        <vt:i4>5</vt:i4>
      </vt:variant>
      <vt:variant>
        <vt:lpwstr/>
      </vt:variant>
      <vt:variant>
        <vt:lpwstr>_Toc516132527</vt:lpwstr>
      </vt:variant>
      <vt:variant>
        <vt:i4>1507381</vt:i4>
      </vt:variant>
      <vt:variant>
        <vt:i4>42</vt:i4>
      </vt:variant>
      <vt:variant>
        <vt:i4>0</vt:i4>
      </vt:variant>
      <vt:variant>
        <vt:i4>5</vt:i4>
      </vt:variant>
      <vt:variant>
        <vt:lpwstr/>
      </vt:variant>
      <vt:variant>
        <vt:lpwstr>_Toc516132526</vt:lpwstr>
      </vt:variant>
      <vt:variant>
        <vt:i4>1507381</vt:i4>
      </vt:variant>
      <vt:variant>
        <vt:i4>36</vt:i4>
      </vt:variant>
      <vt:variant>
        <vt:i4>0</vt:i4>
      </vt:variant>
      <vt:variant>
        <vt:i4>5</vt:i4>
      </vt:variant>
      <vt:variant>
        <vt:lpwstr/>
      </vt:variant>
      <vt:variant>
        <vt:lpwstr>_Toc516132525</vt:lpwstr>
      </vt:variant>
      <vt:variant>
        <vt:i4>1507381</vt:i4>
      </vt:variant>
      <vt:variant>
        <vt:i4>30</vt:i4>
      </vt:variant>
      <vt:variant>
        <vt:i4>0</vt:i4>
      </vt:variant>
      <vt:variant>
        <vt:i4>5</vt:i4>
      </vt:variant>
      <vt:variant>
        <vt:lpwstr/>
      </vt:variant>
      <vt:variant>
        <vt:lpwstr>_Toc516132524</vt:lpwstr>
      </vt:variant>
      <vt:variant>
        <vt:i4>1507381</vt:i4>
      </vt:variant>
      <vt:variant>
        <vt:i4>24</vt:i4>
      </vt:variant>
      <vt:variant>
        <vt:i4>0</vt:i4>
      </vt:variant>
      <vt:variant>
        <vt:i4>5</vt:i4>
      </vt:variant>
      <vt:variant>
        <vt:lpwstr/>
      </vt:variant>
      <vt:variant>
        <vt:lpwstr>_Toc516132523</vt:lpwstr>
      </vt:variant>
      <vt:variant>
        <vt:i4>1507381</vt:i4>
      </vt:variant>
      <vt:variant>
        <vt:i4>18</vt:i4>
      </vt:variant>
      <vt:variant>
        <vt:i4>0</vt:i4>
      </vt:variant>
      <vt:variant>
        <vt:i4>5</vt:i4>
      </vt:variant>
      <vt:variant>
        <vt:lpwstr/>
      </vt:variant>
      <vt:variant>
        <vt:lpwstr>_Toc516132522</vt:lpwstr>
      </vt:variant>
      <vt:variant>
        <vt:i4>1507381</vt:i4>
      </vt:variant>
      <vt:variant>
        <vt:i4>12</vt:i4>
      </vt:variant>
      <vt:variant>
        <vt:i4>0</vt:i4>
      </vt:variant>
      <vt:variant>
        <vt:i4>5</vt:i4>
      </vt:variant>
      <vt:variant>
        <vt:lpwstr/>
      </vt:variant>
      <vt:variant>
        <vt:lpwstr>_Toc516132521</vt:lpwstr>
      </vt:variant>
      <vt:variant>
        <vt:i4>1507381</vt:i4>
      </vt:variant>
      <vt:variant>
        <vt:i4>6</vt:i4>
      </vt:variant>
      <vt:variant>
        <vt:i4>0</vt:i4>
      </vt:variant>
      <vt:variant>
        <vt:i4>5</vt:i4>
      </vt:variant>
      <vt:variant>
        <vt:lpwstr/>
      </vt:variant>
      <vt:variant>
        <vt:lpwstr>_Toc516132520</vt:lpwstr>
      </vt:variant>
      <vt:variant>
        <vt:i4>1310773</vt:i4>
      </vt:variant>
      <vt:variant>
        <vt:i4>0</vt:i4>
      </vt:variant>
      <vt:variant>
        <vt:i4>0</vt:i4>
      </vt:variant>
      <vt:variant>
        <vt:i4>5</vt:i4>
      </vt:variant>
      <vt:variant>
        <vt:lpwstr/>
      </vt:variant>
      <vt:variant>
        <vt:lpwstr>_Toc516132519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Ольга Викторовна</dc:creator>
  <cp:lastModifiedBy>Елена</cp:lastModifiedBy>
  <cp:revision>3</cp:revision>
  <cp:lastPrinted>2018-07-23T12:29:00Z</cp:lastPrinted>
  <dcterms:created xsi:type="dcterms:W3CDTF">2018-08-13T13:16:00Z</dcterms:created>
  <dcterms:modified xsi:type="dcterms:W3CDTF">2018-08-13T13:16:00Z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Khayretdinova_RF</vt:lpwstr>
  </property>
  <property fmtid="{D5CDD505-2E9C-101B-9397-08002B2CF9AE}" pid="3" name="MacrosVersion">
    <vt:lpwstr>1.3</vt:lpwstr>
  </property>
  <property fmtid="{D5CDD505-2E9C-101B-9397-08002B2CF9AE}" pid="4" name="CustomObjectId">
    <vt:lpwstr/>
  </property>
  <property fmtid="{D5CDD505-2E9C-101B-9397-08002B2CF9AE}" pid="5" name="CustomServerURL">
    <vt:lpwstr/>
  </property>
  <property fmtid="{D5CDD505-2E9C-101B-9397-08002B2CF9AE}" pid="6" name="CustomUserId">
    <vt:lpwstr/>
  </property>
  <property fmtid="{D5CDD505-2E9C-101B-9397-08002B2CF9AE}" pid="7" name="CustomObjectState">
    <vt:lpwstr/>
  </property>
  <property fmtid="{D5CDD505-2E9C-101B-9397-08002B2CF9AE}" pid="8" name="MacrosDisabled">
    <vt:lpwstr/>
  </property>
  <property fmtid="{D5CDD505-2E9C-101B-9397-08002B2CF9AE}" pid="9" name="ConfirmationToolBarEnabled">
    <vt:lpwstr/>
  </property>
  <property fmtid="{D5CDD505-2E9C-101B-9397-08002B2CF9AE}" pid="10" name="localFileProperties">
    <vt:lpwstr/>
  </property>
  <property fmtid="{D5CDD505-2E9C-101B-9397-08002B2CF9AE}" pid="11" name="magic_key">
    <vt:lpwstr/>
  </property>
</Properties>
</file>